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6282" w14:textId="23482E34" w:rsidR="0094069B" w:rsidRPr="00400E53" w:rsidRDefault="0094069B" w:rsidP="0094069B">
      <w:pPr>
        <w:rPr>
          <w:rFonts w:ascii="Arial" w:hAnsi="Arial" w:cs="Arial"/>
          <w:sz w:val="24"/>
          <w:szCs w:val="24"/>
          <w:lang w:val="en-US"/>
        </w:rPr>
      </w:pPr>
      <w:r w:rsidRPr="00D15B50">
        <w:rPr>
          <w:rFonts w:ascii="Arial" w:hAnsi="Arial" w:cs="Arial"/>
          <w:b/>
          <w:bCs/>
          <w:color w:val="ED7D31" w:themeColor="accent2"/>
          <w:sz w:val="24"/>
          <w:szCs w:val="24"/>
        </w:rPr>
        <w:t xml:space="preserve">Job Title: </w:t>
      </w:r>
      <w:r w:rsidR="00B00E75">
        <w:rPr>
          <w:rFonts w:ascii="Arial" w:hAnsi="Arial" w:cs="Arial"/>
          <w:sz w:val="24"/>
          <w:szCs w:val="24"/>
        </w:rPr>
        <w:t xml:space="preserve">Salesforce </w:t>
      </w:r>
      <w:r w:rsidR="00400E53" w:rsidRPr="00400E53">
        <w:rPr>
          <w:rFonts w:ascii="Arial" w:hAnsi="Arial" w:cs="Arial"/>
          <w:sz w:val="24"/>
          <w:szCs w:val="24"/>
        </w:rPr>
        <w:t>Manager</w:t>
      </w:r>
    </w:p>
    <w:p w14:paraId="16322A5C" w14:textId="169FABEE" w:rsidR="00400E53" w:rsidRPr="00400E53" w:rsidRDefault="0094069B" w:rsidP="0094069B">
      <w:pPr>
        <w:rPr>
          <w:rFonts w:ascii="Arial" w:hAnsi="Arial" w:cs="Arial"/>
          <w:color w:val="ED7D31" w:themeColor="accent2"/>
          <w:sz w:val="24"/>
          <w:szCs w:val="24"/>
        </w:rPr>
      </w:pPr>
      <w:r w:rsidRPr="00D15B50">
        <w:rPr>
          <w:rFonts w:ascii="Arial" w:hAnsi="Arial" w:cs="Arial"/>
          <w:b/>
          <w:bCs/>
          <w:color w:val="ED7D31" w:themeColor="accent2"/>
          <w:sz w:val="24"/>
          <w:szCs w:val="24"/>
        </w:rPr>
        <w:t>Employment Type:</w:t>
      </w:r>
      <w:r w:rsidRPr="00D15B50">
        <w:rPr>
          <w:rFonts w:ascii="Arial" w:hAnsi="Arial" w:cs="Arial"/>
          <w:color w:val="ED7D31" w:themeColor="accent2"/>
          <w:sz w:val="24"/>
          <w:szCs w:val="24"/>
        </w:rPr>
        <w:t xml:space="preserve"> </w:t>
      </w:r>
      <w:r w:rsidR="00400E53" w:rsidRPr="00D765E9">
        <w:rPr>
          <w:rFonts w:ascii="Arial" w:hAnsi="Arial" w:cs="Arial"/>
          <w:sz w:val="24"/>
          <w:szCs w:val="24"/>
        </w:rPr>
        <w:t>Permanent</w:t>
      </w:r>
    </w:p>
    <w:p w14:paraId="1771FFAF" w14:textId="095C5D69" w:rsidR="0094069B" w:rsidRPr="00D15B50" w:rsidRDefault="0094069B" w:rsidP="0094069B">
      <w:pPr>
        <w:rPr>
          <w:rFonts w:ascii="Arial" w:hAnsi="Arial" w:cs="Arial"/>
          <w:b/>
          <w:bCs/>
          <w:color w:val="ED7D31" w:themeColor="accent2"/>
          <w:sz w:val="24"/>
          <w:szCs w:val="24"/>
        </w:rPr>
      </w:pPr>
      <w:r w:rsidRPr="00D15B50">
        <w:rPr>
          <w:rFonts w:ascii="Arial" w:hAnsi="Arial" w:cs="Arial"/>
          <w:b/>
          <w:bCs/>
          <w:color w:val="ED7D31" w:themeColor="accent2"/>
          <w:sz w:val="24"/>
          <w:szCs w:val="24"/>
        </w:rPr>
        <w:t>Working Hours:</w:t>
      </w:r>
      <w:r w:rsidR="00400E53">
        <w:rPr>
          <w:rFonts w:ascii="Arial" w:hAnsi="Arial" w:cs="Arial"/>
          <w:b/>
          <w:bCs/>
          <w:color w:val="ED7D31" w:themeColor="accent2"/>
          <w:sz w:val="24"/>
          <w:szCs w:val="24"/>
        </w:rPr>
        <w:t xml:space="preserve"> </w:t>
      </w:r>
      <w:r w:rsidR="00B00E75">
        <w:rPr>
          <w:rFonts w:ascii="Arial" w:hAnsi="Arial" w:cs="Arial"/>
          <w:sz w:val="24"/>
          <w:szCs w:val="24"/>
        </w:rPr>
        <w:t>35</w:t>
      </w:r>
      <w:r w:rsidR="00400E53" w:rsidRPr="00D765E9">
        <w:rPr>
          <w:rFonts w:ascii="Arial" w:hAnsi="Arial" w:cs="Arial"/>
          <w:sz w:val="24"/>
          <w:szCs w:val="24"/>
        </w:rPr>
        <w:t xml:space="preserve"> per week</w:t>
      </w:r>
    </w:p>
    <w:p w14:paraId="31445D26" w14:textId="747BD3C8" w:rsidR="0094069B" w:rsidRPr="00D15B50" w:rsidRDefault="0094069B" w:rsidP="0094069B">
      <w:pPr>
        <w:rPr>
          <w:rFonts w:ascii="Arial" w:hAnsi="Arial" w:cs="Arial"/>
          <w:b/>
          <w:bCs/>
          <w:color w:val="ED7D31" w:themeColor="accent2"/>
          <w:sz w:val="24"/>
          <w:szCs w:val="24"/>
        </w:rPr>
      </w:pPr>
      <w:r w:rsidRPr="00D15B50">
        <w:rPr>
          <w:rFonts w:ascii="Arial" w:hAnsi="Arial" w:cs="Arial"/>
          <w:b/>
          <w:bCs/>
          <w:color w:val="ED7D31" w:themeColor="accent2"/>
          <w:sz w:val="24"/>
          <w:szCs w:val="24"/>
        </w:rPr>
        <w:t>Working Patterns:</w:t>
      </w:r>
      <w:r w:rsidR="0055797B">
        <w:rPr>
          <w:rFonts w:ascii="Arial" w:hAnsi="Arial" w:cs="Arial"/>
          <w:b/>
          <w:bCs/>
          <w:color w:val="ED7D31" w:themeColor="accent2"/>
          <w:sz w:val="24"/>
          <w:szCs w:val="24"/>
        </w:rPr>
        <w:t xml:space="preserve"> </w:t>
      </w:r>
      <w:r w:rsidR="00B00E75">
        <w:rPr>
          <w:rFonts w:ascii="Arial" w:hAnsi="Arial" w:cs="Arial"/>
          <w:sz w:val="24"/>
          <w:szCs w:val="24"/>
        </w:rPr>
        <w:t>Monday to Friday, typically 9</w:t>
      </w:r>
      <w:r w:rsidR="00990412">
        <w:rPr>
          <w:rFonts w:ascii="Arial" w:hAnsi="Arial" w:cs="Arial"/>
          <w:sz w:val="24"/>
          <w:szCs w:val="24"/>
        </w:rPr>
        <w:t>am to 5pm</w:t>
      </w:r>
    </w:p>
    <w:p w14:paraId="12AD50FB" w14:textId="0A7A2236" w:rsidR="0094069B" w:rsidRPr="00D15B50" w:rsidRDefault="0094069B" w:rsidP="0094069B">
      <w:pPr>
        <w:rPr>
          <w:rFonts w:ascii="Arial" w:hAnsi="Arial" w:cs="Arial"/>
          <w:sz w:val="24"/>
          <w:szCs w:val="24"/>
          <w:lang w:val="en-US"/>
        </w:rPr>
      </w:pPr>
      <w:r w:rsidRPr="00D15B50">
        <w:rPr>
          <w:rFonts w:ascii="Arial" w:hAnsi="Arial" w:cs="Arial"/>
          <w:b/>
          <w:bCs/>
          <w:color w:val="ED7D31" w:themeColor="accent2"/>
          <w:sz w:val="24"/>
          <w:szCs w:val="24"/>
        </w:rPr>
        <w:t>Closing date:</w:t>
      </w:r>
      <w:r w:rsidRPr="00D15B50">
        <w:rPr>
          <w:rFonts w:ascii="Arial" w:hAnsi="Arial" w:cs="Arial"/>
          <w:color w:val="ED7D31" w:themeColor="accent2"/>
          <w:sz w:val="24"/>
          <w:szCs w:val="24"/>
        </w:rPr>
        <w:t xml:space="preserve"> </w:t>
      </w:r>
      <w:r w:rsidR="0055797B" w:rsidRPr="00D765E9">
        <w:rPr>
          <w:rFonts w:ascii="Arial" w:hAnsi="Arial" w:cs="Arial"/>
          <w:sz w:val="24"/>
          <w:szCs w:val="24"/>
        </w:rPr>
        <w:t>Rolling recruitment</w:t>
      </w:r>
      <w:r w:rsidR="0055797B">
        <w:rPr>
          <w:rFonts w:ascii="Arial" w:hAnsi="Arial" w:cs="Arial"/>
          <w:color w:val="ED7D31" w:themeColor="accent2"/>
          <w:sz w:val="24"/>
          <w:szCs w:val="24"/>
        </w:rPr>
        <w:t xml:space="preserve"> </w:t>
      </w:r>
    </w:p>
    <w:p w14:paraId="1E086455" w14:textId="0FB677C3" w:rsidR="0094069B" w:rsidRPr="00D15B50" w:rsidRDefault="0094069B" w:rsidP="0094069B">
      <w:pPr>
        <w:rPr>
          <w:rFonts w:ascii="Arial" w:hAnsi="Arial" w:cs="Arial"/>
          <w:sz w:val="24"/>
          <w:szCs w:val="24"/>
          <w:lang w:val="en-US"/>
        </w:rPr>
      </w:pPr>
      <w:r w:rsidRPr="00D15B50">
        <w:rPr>
          <w:rFonts w:ascii="Arial" w:hAnsi="Arial" w:cs="Arial"/>
          <w:b/>
          <w:bCs/>
          <w:color w:val="ED7D31" w:themeColor="accent2"/>
          <w:sz w:val="24"/>
          <w:szCs w:val="24"/>
        </w:rPr>
        <w:t>Interview dates</w:t>
      </w:r>
      <w:r w:rsidRPr="00D15B50">
        <w:rPr>
          <w:rFonts w:ascii="Arial" w:hAnsi="Arial" w:cs="Arial"/>
          <w:color w:val="ED7D31" w:themeColor="accent2"/>
          <w:sz w:val="24"/>
          <w:szCs w:val="24"/>
        </w:rPr>
        <w:t xml:space="preserve">: </w:t>
      </w:r>
      <w:r w:rsidR="0055797B" w:rsidRPr="00D765E9">
        <w:rPr>
          <w:rFonts w:ascii="Arial" w:hAnsi="Arial" w:cs="Arial"/>
          <w:sz w:val="24"/>
          <w:szCs w:val="24"/>
        </w:rPr>
        <w:t>Rolling recruitment</w:t>
      </w:r>
    </w:p>
    <w:p w14:paraId="42FDDEBB" w14:textId="545DEF13" w:rsidR="0094069B" w:rsidRPr="00D765E9" w:rsidRDefault="0094069B" w:rsidP="0094069B">
      <w:pPr>
        <w:rPr>
          <w:rFonts w:ascii="Arial" w:hAnsi="Arial" w:cs="Arial"/>
          <w:sz w:val="24"/>
          <w:szCs w:val="24"/>
        </w:rPr>
      </w:pPr>
      <w:r w:rsidRPr="00D15B50">
        <w:rPr>
          <w:rFonts w:ascii="Arial" w:hAnsi="Arial" w:cs="Arial"/>
          <w:b/>
          <w:bCs/>
          <w:color w:val="ED7D31" w:themeColor="accent2"/>
          <w:sz w:val="24"/>
          <w:szCs w:val="24"/>
        </w:rPr>
        <w:t>Location:</w:t>
      </w:r>
      <w:r w:rsidRPr="00D15B50">
        <w:rPr>
          <w:rFonts w:ascii="Arial" w:hAnsi="Arial" w:cs="Arial"/>
          <w:color w:val="ED7D31" w:themeColor="accent2"/>
          <w:sz w:val="24"/>
          <w:szCs w:val="24"/>
        </w:rPr>
        <w:t xml:space="preserve"> </w:t>
      </w:r>
      <w:bookmarkStart w:id="0" w:name="_Hlk202862980"/>
      <w:r w:rsidR="00874796" w:rsidRPr="00D765E9">
        <w:rPr>
          <w:rFonts w:ascii="Arial" w:hAnsi="Arial" w:cs="Arial"/>
          <w:sz w:val="24"/>
          <w:szCs w:val="24"/>
        </w:rPr>
        <w:t xml:space="preserve">In office or hybrid (at least </w:t>
      </w:r>
      <w:r w:rsidR="00990412">
        <w:rPr>
          <w:rFonts w:ascii="Arial" w:hAnsi="Arial" w:cs="Arial"/>
          <w:sz w:val="24"/>
          <w:szCs w:val="24"/>
        </w:rPr>
        <w:t>2</w:t>
      </w:r>
      <w:r w:rsidR="00874796" w:rsidRPr="00D765E9">
        <w:rPr>
          <w:rFonts w:ascii="Arial" w:hAnsi="Arial" w:cs="Arial"/>
          <w:sz w:val="24"/>
          <w:szCs w:val="24"/>
        </w:rPr>
        <w:t xml:space="preserve"> day</w:t>
      </w:r>
      <w:r w:rsidR="00990412">
        <w:rPr>
          <w:rFonts w:ascii="Arial" w:hAnsi="Arial" w:cs="Arial"/>
          <w:sz w:val="24"/>
          <w:szCs w:val="24"/>
        </w:rPr>
        <w:t>s</w:t>
      </w:r>
      <w:r w:rsidR="00874796" w:rsidRPr="00D765E9">
        <w:rPr>
          <w:rFonts w:ascii="Arial" w:hAnsi="Arial" w:cs="Arial"/>
          <w:sz w:val="24"/>
          <w:szCs w:val="24"/>
        </w:rPr>
        <w:t xml:space="preserve"> a </w:t>
      </w:r>
      <w:r w:rsidR="00CF1AA8" w:rsidRPr="00D765E9">
        <w:rPr>
          <w:rFonts w:ascii="Arial" w:hAnsi="Arial" w:cs="Arial"/>
          <w:sz w:val="24"/>
          <w:szCs w:val="24"/>
        </w:rPr>
        <w:t>week</w:t>
      </w:r>
      <w:r w:rsidR="00CF1AA8">
        <w:rPr>
          <w:rFonts w:ascii="Arial" w:hAnsi="Arial" w:cs="Arial"/>
          <w:sz w:val="24"/>
          <w:szCs w:val="24"/>
        </w:rPr>
        <w:t xml:space="preserve"> in the office</w:t>
      </w:r>
      <w:r w:rsidR="00874796" w:rsidRPr="00D765E9">
        <w:rPr>
          <w:rFonts w:ascii="Arial" w:hAnsi="Arial" w:cs="Arial"/>
          <w:sz w:val="24"/>
          <w:szCs w:val="24"/>
        </w:rPr>
        <w:t>)</w:t>
      </w:r>
    </w:p>
    <w:bookmarkEnd w:id="0"/>
    <w:p w14:paraId="1F83B4D7" w14:textId="049699C9" w:rsidR="00D765E9" w:rsidRPr="00D765E9" w:rsidRDefault="0094069B" w:rsidP="00D765E9">
      <w:pPr>
        <w:spacing w:after="0" w:line="240" w:lineRule="auto"/>
        <w:rPr>
          <w:rFonts w:ascii="Arial" w:hAnsi="Arial" w:cs="Arial"/>
          <w:sz w:val="24"/>
          <w:szCs w:val="24"/>
        </w:rPr>
      </w:pPr>
      <w:r w:rsidRPr="00D765E9">
        <w:rPr>
          <w:rFonts w:ascii="Arial" w:hAnsi="Arial" w:cs="Arial"/>
          <w:b/>
          <w:bCs/>
          <w:color w:val="ED7D31" w:themeColor="accent2"/>
          <w:sz w:val="24"/>
          <w:szCs w:val="24"/>
        </w:rPr>
        <w:t>Salary:</w:t>
      </w:r>
      <w:r w:rsidRPr="00D765E9">
        <w:rPr>
          <w:rFonts w:ascii="Arial" w:hAnsi="Arial" w:cs="Arial"/>
          <w:color w:val="ED7D31" w:themeColor="accent2"/>
          <w:sz w:val="24"/>
          <w:szCs w:val="24"/>
        </w:rPr>
        <w:t xml:space="preserve"> </w:t>
      </w:r>
      <w:r w:rsidR="00D765E9" w:rsidRPr="00D765E9">
        <w:rPr>
          <w:rFonts w:ascii="Arial" w:hAnsi="Arial" w:cs="Arial"/>
          <w:sz w:val="24"/>
          <w:szCs w:val="24"/>
        </w:rPr>
        <w:t>£</w:t>
      </w:r>
      <w:r w:rsidR="00990412">
        <w:rPr>
          <w:rFonts w:ascii="Arial" w:hAnsi="Arial" w:cs="Arial"/>
          <w:sz w:val="24"/>
          <w:szCs w:val="24"/>
        </w:rPr>
        <w:t>40,000</w:t>
      </w:r>
    </w:p>
    <w:p w14:paraId="20567B36" w14:textId="1ABD62FE" w:rsidR="0094069B" w:rsidRPr="00D15B50" w:rsidRDefault="0094069B" w:rsidP="0094069B">
      <w:pPr>
        <w:spacing w:after="0" w:line="240" w:lineRule="auto"/>
        <w:rPr>
          <w:rFonts w:ascii="Arial" w:eastAsia="Arial" w:hAnsi="Arial" w:cs="Arial"/>
          <w:color w:val="000000" w:themeColor="text1"/>
          <w:sz w:val="24"/>
          <w:szCs w:val="24"/>
        </w:rPr>
      </w:pPr>
    </w:p>
    <w:p w14:paraId="498A5BE1" w14:textId="4E7BCC48" w:rsidR="0094069B" w:rsidRPr="00D15B50" w:rsidRDefault="0094069B" w:rsidP="00D765E9">
      <w:pPr>
        <w:spacing w:before="100" w:beforeAutospacing="1" w:after="100" w:afterAutospacing="1"/>
        <w:rPr>
          <w:rFonts w:ascii="Arial" w:hAnsi="Arial" w:cs="Arial"/>
          <w:b/>
          <w:bCs/>
          <w:sz w:val="24"/>
          <w:szCs w:val="24"/>
          <w:lang w:val="en-US"/>
        </w:rPr>
      </w:pPr>
      <w:r w:rsidRPr="00D15B50">
        <w:rPr>
          <w:rFonts w:ascii="Arial" w:hAnsi="Arial" w:cs="Arial"/>
          <w:b/>
          <w:bCs/>
          <w:color w:val="ED7D31" w:themeColor="accent2"/>
          <w:sz w:val="24"/>
          <w:szCs w:val="24"/>
        </w:rPr>
        <w:t>About the role:</w:t>
      </w:r>
      <w:r w:rsidRPr="00D15B50">
        <w:rPr>
          <w:rFonts w:ascii="Arial" w:hAnsi="Arial" w:cs="Arial"/>
          <w:sz w:val="24"/>
          <w:szCs w:val="24"/>
        </w:rPr>
        <w:br/>
      </w:r>
      <w:r w:rsidRPr="00D15B50">
        <w:rPr>
          <w:rFonts w:ascii="Arial" w:hAnsi="Arial" w:cs="Arial"/>
          <w:sz w:val="24"/>
          <w:szCs w:val="24"/>
        </w:rPr>
        <w:br/>
        <w:t>For full details please see our job description.</w:t>
      </w:r>
    </w:p>
    <w:p w14:paraId="5BF39051" w14:textId="77777777" w:rsidR="0094069B" w:rsidRPr="00D15B50" w:rsidRDefault="0094069B" w:rsidP="0094069B">
      <w:pPr>
        <w:rPr>
          <w:rFonts w:ascii="Arial" w:hAnsi="Arial" w:cs="Arial"/>
          <w:b/>
          <w:bCs/>
          <w:color w:val="ED7D31" w:themeColor="accent2"/>
          <w:sz w:val="24"/>
          <w:szCs w:val="24"/>
          <w:lang w:val="en-US"/>
        </w:rPr>
      </w:pPr>
      <w:r w:rsidRPr="00D15B50">
        <w:rPr>
          <w:rFonts w:ascii="Arial" w:hAnsi="Arial" w:cs="Arial"/>
          <w:b/>
          <w:bCs/>
          <w:color w:val="ED7D31" w:themeColor="accent2"/>
          <w:sz w:val="24"/>
          <w:szCs w:val="24"/>
          <w:lang w:val="en-US"/>
        </w:rPr>
        <w:t xml:space="preserve">About us:  </w:t>
      </w:r>
    </w:p>
    <w:p w14:paraId="29F45B81" w14:textId="77777777" w:rsidR="0094069B" w:rsidRPr="00D15B50" w:rsidRDefault="0094069B" w:rsidP="0094069B">
      <w:pPr>
        <w:rPr>
          <w:sz w:val="24"/>
          <w:szCs w:val="24"/>
        </w:rPr>
      </w:pPr>
      <w:r w:rsidRPr="00D15B50">
        <w:rPr>
          <w:rFonts w:ascii="Arial" w:hAnsi="Arial" w:cs="Arial"/>
          <w:sz w:val="24"/>
          <w:szCs w:val="24"/>
          <w:lang w:val="en-US"/>
        </w:rPr>
        <w:t xml:space="preserve">At Back Up, we have big ambitions. We launch our bold new strategy in April 2025 and together we’ll be working hard to make sure everyone affected by spinal cord injury has access to the support they need. We have a unique portfolio of high-impact services, and we are the only spinal cord injury charity in the UK providing dedicated services to children and young people.   </w:t>
      </w:r>
    </w:p>
    <w:p w14:paraId="1E6722CE" w14:textId="77777777" w:rsidR="0094069B" w:rsidRPr="00D15B50" w:rsidRDefault="0094069B" w:rsidP="0094069B">
      <w:pPr>
        <w:rPr>
          <w:sz w:val="24"/>
          <w:szCs w:val="24"/>
        </w:rPr>
      </w:pPr>
      <w:r w:rsidRPr="00D15B50">
        <w:rPr>
          <w:rFonts w:ascii="Arial" w:hAnsi="Arial" w:cs="Arial"/>
          <w:sz w:val="24"/>
          <w:szCs w:val="24"/>
          <w:lang w:val="en-US"/>
        </w:rPr>
        <w:t xml:space="preserve">At Back Up, inclusion is at the heart of everything we do. We are committed to creating an inclusive working environment where all our employees are encouraged to reach their full potential, and individual differences are valued and respected. We particularly welcome applications from those from black, Asian or ethnic minority backgrounds or those with higher level spinal cord injuries.  </w:t>
      </w:r>
    </w:p>
    <w:p w14:paraId="75AF027D" w14:textId="35D8BD97" w:rsidR="0094069B" w:rsidRPr="00D15B50" w:rsidRDefault="0094069B" w:rsidP="0094069B">
      <w:pPr>
        <w:rPr>
          <w:sz w:val="24"/>
          <w:szCs w:val="24"/>
        </w:rPr>
      </w:pPr>
      <w:r w:rsidRPr="00D15B50">
        <w:rPr>
          <w:rFonts w:ascii="Arial" w:hAnsi="Arial" w:cs="Arial"/>
          <w:sz w:val="24"/>
          <w:szCs w:val="24"/>
          <w:lang w:val="en-US"/>
        </w:rPr>
        <w:t xml:space="preserve">In 2024 Back Up won The Times and The Sunday Times Spotlight Award for Best place to work for disabled employees. Previously, Back Up was voted one of the top ten charities to work for (Third Sector Best Charities 2020). The enthusiastic, inclusive and supportive spirit of our very skilled staff </w:t>
      </w:r>
      <w:r w:rsidR="00F627C4" w:rsidRPr="00D15B50">
        <w:rPr>
          <w:rFonts w:ascii="Arial" w:hAnsi="Arial" w:cs="Arial"/>
          <w:sz w:val="24"/>
          <w:szCs w:val="24"/>
          <w:lang w:val="en-US"/>
        </w:rPr>
        <w:t>ensures</w:t>
      </w:r>
      <w:r w:rsidRPr="00D15B50">
        <w:rPr>
          <w:rFonts w:ascii="Arial" w:hAnsi="Arial" w:cs="Arial"/>
          <w:sz w:val="24"/>
          <w:szCs w:val="24"/>
          <w:lang w:val="en-US"/>
        </w:rPr>
        <w:t xml:space="preserve"> excellence in the services we deliver. </w:t>
      </w:r>
    </w:p>
    <w:p w14:paraId="55FF6474" w14:textId="7E4C26AE" w:rsidR="0094069B" w:rsidRDefault="0094069B" w:rsidP="0094069B">
      <w:pPr>
        <w:rPr>
          <w:rFonts w:ascii="Arial" w:hAnsi="Arial" w:cs="Arial"/>
          <w:b/>
          <w:bCs/>
          <w:color w:val="ED7D31" w:themeColor="accent2"/>
          <w:sz w:val="24"/>
          <w:szCs w:val="24"/>
          <w:lang w:val="en-US"/>
        </w:rPr>
      </w:pPr>
      <w:r w:rsidRPr="00D15B50">
        <w:rPr>
          <w:rFonts w:ascii="Arial" w:hAnsi="Arial" w:cs="Arial"/>
          <w:b/>
          <w:bCs/>
          <w:color w:val="ED7D31" w:themeColor="accent2"/>
          <w:sz w:val="24"/>
          <w:szCs w:val="24"/>
          <w:lang w:val="en-US"/>
        </w:rPr>
        <w:t>How to apply</w:t>
      </w:r>
      <w:r w:rsidR="00AD7FBE" w:rsidRPr="00D15B50">
        <w:rPr>
          <w:rFonts w:ascii="Arial" w:hAnsi="Arial" w:cs="Arial"/>
          <w:b/>
          <w:bCs/>
          <w:color w:val="ED7D31" w:themeColor="accent2"/>
          <w:sz w:val="24"/>
          <w:szCs w:val="24"/>
          <w:lang w:val="en-US"/>
        </w:rPr>
        <w:t>:</w:t>
      </w:r>
    </w:p>
    <w:p w14:paraId="4131FEEA" w14:textId="77777777" w:rsidR="00453B72" w:rsidRPr="00453B72" w:rsidRDefault="00453B72" w:rsidP="001A69BE">
      <w:pPr>
        <w:pStyle w:val="ListParagraph"/>
        <w:numPr>
          <w:ilvl w:val="0"/>
          <w:numId w:val="1"/>
        </w:numPr>
        <w:spacing w:after="200" w:line="240" w:lineRule="auto"/>
        <w:rPr>
          <w:rFonts w:ascii="Arial" w:eastAsiaTheme="minorEastAsia" w:hAnsi="Arial" w:cs="Arial"/>
          <w:color w:val="000000" w:themeColor="text1"/>
          <w:sz w:val="24"/>
          <w:szCs w:val="24"/>
          <w:lang w:val="en-US"/>
        </w:rPr>
      </w:pPr>
      <w:bookmarkStart w:id="1" w:name="_Hlk167449532"/>
      <w:bookmarkStart w:id="2" w:name="_Hlk167451476"/>
      <w:r w:rsidRPr="00453B72">
        <w:rPr>
          <w:rFonts w:ascii="Arial" w:hAnsi="Arial" w:cs="Arial"/>
          <w:sz w:val="24"/>
          <w:szCs w:val="24"/>
          <w:lang w:val="en-US"/>
        </w:rPr>
        <w:t>Closing date: Rolling recruitment</w:t>
      </w:r>
    </w:p>
    <w:p w14:paraId="23862811" w14:textId="452EB747" w:rsidR="00F627C4" w:rsidRPr="003F7D19" w:rsidRDefault="00F627C4" w:rsidP="001A69BE">
      <w:pPr>
        <w:pStyle w:val="ListParagraph"/>
        <w:numPr>
          <w:ilvl w:val="0"/>
          <w:numId w:val="1"/>
        </w:numPr>
        <w:spacing w:after="200" w:line="240" w:lineRule="auto"/>
        <w:rPr>
          <w:rFonts w:ascii="Arial" w:eastAsiaTheme="minorEastAsia" w:hAnsi="Arial" w:cs="Arial"/>
          <w:color w:val="000000" w:themeColor="text1"/>
          <w:sz w:val="24"/>
          <w:szCs w:val="24"/>
          <w:lang w:val="en-US"/>
        </w:rPr>
      </w:pPr>
      <w:r w:rsidRPr="00453B72">
        <w:rPr>
          <w:rFonts w:ascii="Arial" w:eastAsia="Arial" w:hAnsi="Arial" w:cs="Arial"/>
          <w:color w:val="000000" w:themeColor="text1"/>
          <w:sz w:val="24"/>
          <w:szCs w:val="24"/>
        </w:rPr>
        <w:t>We</w:t>
      </w:r>
      <w:r w:rsidRPr="00F627C4">
        <w:rPr>
          <w:rFonts w:ascii="Arial" w:eastAsia="Arial" w:hAnsi="Arial" w:cs="Arial"/>
          <w:color w:val="000000" w:themeColor="text1"/>
          <w:sz w:val="24"/>
          <w:szCs w:val="24"/>
        </w:rPr>
        <w:t xml:space="preserve"> currently review application only through Charity Jobs ATS. Please apply through Charity jobs as we will not be accepting offline applications. </w:t>
      </w:r>
    </w:p>
    <w:p w14:paraId="2168D4ED" w14:textId="7F0B7733" w:rsidR="0094069B" w:rsidRPr="00F627C4" w:rsidRDefault="00F627C4" w:rsidP="001A69BE">
      <w:pPr>
        <w:pStyle w:val="ListParagraph"/>
        <w:numPr>
          <w:ilvl w:val="0"/>
          <w:numId w:val="1"/>
        </w:numPr>
        <w:spacing w:after="200" w:line="240" w:lineRule="auto"/>
        <w:rPr>
          <w:rFonts w:ascii="Arial" w:eastAsiaTheme="minorEastAsia" w:hAnsi="Arial" w:cs="Arial"/>
          <w:color w:val="000000" w:themeColor="text1"/>
          <w:sz w:val="24"/>
          <w:szCs w:val="24"/>
          <w:lang w:val="en-US"/>
        </w:rPr>
      </w:pPr>
      <w:r>
        <w:rPr>
          <w:rFonts w:ascii="Arial" w:eastAsia="Arial" w:hAnsi="Arial" w:cs="Arial"/>
          <w:color w:val="000000" w:themeColor="text1"/>
          <w:sz w:val="24"/>
          <w:szCs w:val="24"/>
        </w:rPr>
        <w:t xml:space="preserve">Charity Jobs will ask you for a </w:t>
      </w:r>
      <w:r w:rsidR="0094069B" w:rsidRPr="00D15B50">
        <w:rPr>
          <w:rFonts w:ascii="Arial" w:eastAsia="Arial" w:hAnsi="Arial" w:cs="Arial"/>
          <w:color w:val="000000" w:themeColor="text1"/>
          <w:sz w:val="24"/>
          <w:szCs w:val="24"/>
        </w:rPr>
        <w:t xml:space="preserve">CV </w:t>
      </w:r>
      <w:r>
        <w:rPr>
          <w:rFonts w:ascii="Arial" w:eastAsia="Arial" w:hAnsi="Arial" w:cs="Arial"/>
          <w:color w:val="000000" w:themeColor="text1"/>
          <w:sz w:val="24"/>
          <w:szCs w:val="24"/>
        </w:rPr>
        <w:t>&amp; Cover Letter (</w:t>
      </w:r>
      <w:r w:rsidR="008C4C40" w:rsidRPr="008C4C40">
        <w:rPr>
          <w:rFonts w:ascii="Arial" w:eastAsia="Arial" w:hAnsi="Arial" w:cs="Arial"/>
          <w:color w:val="000000" w:themeColor="text1"/>
          <w:sz w:val="24"/>
          <w:szCs w:val="24"/>
        </w:rPr>
        <w:t>saying why you want the job and explaining how you meet the criteria in the job description. This statement is crucial; CVs alone will not be accepted</w:t>
      </w:r>
      <w:r>
        <w:rPr>
          <w:rFonts w:ascii="Arial" w:eastAsia="Arial" w:hAnsi="Arial" w:cs="Arial"/>
          <w:color w:val="000000" w:themeColor="text1"/>
          <w:sz w:val="24"/>
          <w:szCs w:val="24"/>
        </w:rPr>
        <w:t>).</w:t>
      </w:r>
    </w:p>
    <w:p w14:paraId="710D77C7" w14:textId="1CF19435" w:rsidR="0094069B" w:rsidRPr="00F627C4" w:rsidRDefault="00F627C4" w:rsidP="001A69BE">
      <w:pPr>
        <w:pStyle w:val="ListParagraph"/>
        <w:numPr>
          <w:ilvl w:val="0"/>
          <w:numId w:val="1"/>
        </w:numPr>
        <w:spacing w:after="200" w:line="240" w:lineRule="auto"/>
        <w:rPr>
          <w:rFonts w:ascii="Arial" w:eastAsiaTheme="minorEastAsia" w:hAnsi="Arial" w:cs="Arial"/>
          <w:color w:val="000000" w:themeColor="text1"/>
          <w:sz w:val="24"/>
          <w:szCs w:val="24"/>
          <w:lang w:val="en-US"/>
        </w:rPr>
      </w:pPr>
      <w:r>
        <w:rPr>
          <w:rFonts w:ascii="Arial" w:eastAsia="Arial" w:hAnsi="Arial" w:cs="Arial"/>
          <w:color w:val="000000" w:themeColor="text1"/>
          <w:sz w:val="24"/>
          <w:szCs w:val="24"/>
        </w:rPr>
        <w:t>Please</w:t>
      </w:r>
      <w:r w:rsidR="0094069B" w:rsidRPr="00F627C4">
        <w:rPr>
          <w:rFonts w:ascii="Arial" w:eastAsia="Arial" w:hAnsi="Arial" w:cs="Arial"/>
          <w:color w:val="000000" w:themeColor="text1"/>
          <w:sz w:val="24"/>
          <w:szCs w:val="24"/>
        </w:rPr>
        <w:t xml:space="preserve"> complete equal opportunities form</w:t>
      </w:r>
      <w:r>
        <w:rPr>
          <w:rFonts w:ascii="Arial" w:eastAsia="Arial" w:hAnsi="Arial" w:cs="Arial"/>
          <w:color w:val="000000" w:themeColor="text1"/>
          <w:sz w:val="24"/>
          <w:szCs w:val="24"/>
        </w:rPr>
        <w:t xml:space="preserve"> on charity Jobs</w:t>
      </w:r>
      <w:r w:rsidR="0094069B" w:rsidRPr="00F627C4">
        <w:rPr>
          <w:rFonts w:ascii="Arial" w:eastAsia="Arial" w:hAnsi="Arial" w:cs="Arial"/>
          <w:color w:val="000000" w:themeColor="text1"/>
          <w:sz w:val="24"/>
          <w:szCs w:val="24"/>
        </w:rPr>
        <w:t xml:space="preserve">. This form will be kept separate from your </w:t>
      </w:r>
      <w:r w:rsidR="00AD7FBE" w:rsidRPr="00F627C4">
        <w:rPr>
          <w:rFonts w:ascii="Arial" w:eastAsia="Arial" w:hAnsi="Arial" w:cs="Arial"/>
          <w:color w:val="000000" w:themeColor="text1"/>
          <w:sz w:val="24"/>
          <w:szCs w:val="24"/>
        </w:rPr>
        <w:t>application and</w:t>
      </w:r>
      <w:r w:rsidR="0094069B" w:rsidRPr="00F627C4">
        <w:rPr>
          <w:rFonts w:ascii="Arial" w:eastAsia="Arial" w:hAnsi="Arial" w:cs="Arial"/>
          <w:color w:val="000000" w:themeColor="text1"/>
          <w:sz w:val="24"/>
          <w:szCs w:val="24"/>
        </w:rPr>
        <w:t xml:space="preserve"> not viewed by the recruiting manager. It is used to help us assess the diversity of our applicants to ensure our </w:t>
      </w:r>
      <w:r w:rsidR="0094069B" w:rsidRPr="00F627C4">
        <w:rPr>
          <w:rFonts w:ascii="Arial" w:eastAsia="Arial" w:hAnsi="Arial" w:cs="Arial"/>
          <w:color w:val="000000" w:themeColor="text1"/>
          <w:sz w:val="24"/>
          <w:szCs w:val="24"/>
        </w:rPr>
        <w:lastRenderedPageBreak/>
        <w:t xml:space="preserve">processes are fair to all. It is optional to fill </w:t>
      </w:r>
      <w:r w:rsidR="00AD7FBE" w:rsidRPr="00F627C4">
        <w:rPr>
          <w:rFonts w:ascii="Arial" w:eastAsia="Arial" w:hAnsi="Arial" w:cs="Arial"/>
          <w:color w:val="000000" w:themeColor="text1"/>
          <w:sz w:val="24"/>
          <w:szCs w:val="24"/>
        </w:rPr>
        <w:t>in,</w:t>
      </w:r>
      <w:r w:rsidR="0094069B" w:rsidRPr="00F627C4">
        <w:rPr>
          <w:rFonts w:ascii="Arial" w:eastAsia="Arial" w:hAnsi="Arial" w:cs="Arial"/>
          <w:color w:val="000000" w:themeColor="text1"/>
          <w:sz w:val="24"/>
          <w:szCs w:val="24"/>
        </w:rPr>
        <w:t xml:space="preserve"> but it will help us improve and maintain high standards. </w:t>
      </w:r>
    </w:p>
    <w:bookmarkEnd w:id="1"/>
    <w:p w14:paraId="2CB8F884" w14:textId="5452EF78" w:rsidR="0094069B" w:rsidRPr="00D15B50" w:rsidRDefault="0094069B" w:rsidP="0094069B">
      <w:pPr>
        <w:rPr>
          <w:rFonts w:ascii="Arial" w:eastAsia="Arial" w:hAnsi="Arial" w:cs="Arial"/>
          <w:b/>
          <w:bCs/>
          <w:color w:val="000000" w:themeColor="text1"/>
          <w:sz w:val="24"/>
          <w:szCs w:val="24"/>
        </w:rPr>
      </w:pPr>
      <w:r w:rsidRPr="00D15B50">
        <w:rPr>
          <w:rFonts w:ascii="Arial" w:eastAsia="Arial" w:hAnsi="Arial" w:cs="Arial"/>
          <w:color w:val="000000" w:themeColor="text1"/>
          <w:sz w:val="24"/>
          <w:szCs w:val="24"/>
        </w:rPr>
        <w:t xml:space="preserve">We will acknowledge receipt of your </w:t>
      </w:r>
      <w:r w:rsidR="00AD7FBE" w:rsidRPr="00D15B50">
        <w:rPr>
          <w:rFonts w:ascii="Arial" w:eastAsia="Arial" w:hAnsi="Arial" w:cs="Arial"/>
          <w:color w:val="000000" w:themeColor="text1"/>
          <w:sz w:val="24"/>
          <w:szCs w:val="24"/>
        </w:rPr>
        <w:t>application and</w:t>
      </w:r>
      <w:r w:rsidRPr="00D15B50">
        <w:rPr>
          <w:rFonts w:ascii="Arial" w:eastAsia="Arial" w:hAnsi="Arial" w:cs="Arial"/>
          <w:color w:val="000000" w:themeColor="text1"/>
          <w:sz w:val="24"/>
          <w:szCs w:val="24"/>
        </w:rPr>
        <w:t xml:space="preserve"> then let you know if you are to be invited to interview.  </w:t>
      </w:r>
    </w:p>
    <w:p w14:paraId="4F22B718" w14:textId="77777777" w:rsidR="0094069B" w:rsidRPr="00D15B50" w:rsidRDefault="0094069B" w:rsidP="0094069B">
      <w:pPr>
        <w:rPr>
          <w:rFonts w:ascii="Arial" w:eastAsia="Arial" w:hAnsi="Arial" w:cs="Arial"/>
          <w:b/>
          <w:bCs/>
          <w:color w:val="ED7D31" w:themeColor="accent2"/>
          <w:sz w:val="24"/>
          <w:szCs w:val="24"/>
        </w:rPr>
      </w:pPr>
      <w:r w:rsidRPr="00D15B50">
        <w:rPr>
          <w:rFonts w:ascii="Arial" w:eastAsia="Arial" w:hAnsi="Arial" w:cs="Arial"/>
          <w:b/>
          <w:bCs/>
          <w:color w:val="ED7D31" w:themeColor="accent2"/>
          <w:sz w:val="24"/>
          <w:szCs w:val="24"/>
        </w:rPr>
        <w:t>What will the process involve?</w:t>
      </w:r>
    </w:p>
    <w:p w14:paraId="01D6F714" w14:textId="77777777" w:rsidR="0094069B" w:rsidRPr="00D15B50" w:rsidRDefault="0094069B" w:rsidP="0094069B">
      <w:pPr>
        <w:rPr>
          <w:rFonts w:ascii="Arial" w:hAnsi="Arial" w:cs="Arial"/>
          <w:sz w:val="24"/>
          <w:szCs w:val="24"/>
        </w:rPr>
      </w:pPr>
      <w:r w:rsidRPr="00D15B50">
        <w:rPr>
          <w:rFonts w:ascii="Arial" w:eastAsia="Arial" w:hAnsi="Arial" w:cs="Arial"/>
          <w:color w:val="000000" w:themeColor="text1"/>
          <w:sz w:val="24"/>
          <w:szCs w:val="24"/>
        </w:rPr>
        <w:t xml:space="preserve">The process will involve </w:t>
      </w:r>
      <w:r w:rsidRPr="00D15B50">
        <w:rPr>
          <w:rStyle w:val="cf01"/>
          <w:rFonts w:ascii="Arial" w:hAnsi="Arial" w:cs="Arial"/>
          <w:sz w:val="24"/>
          <w:szCs w:val="24"/>
        </w:rPr>
        <w:t>at least one interview round which will be</w:t>
      </w:r>
      <w:r w:rsidRPr="00D15B50">
        <w:rPr>
          <w:rStyle w:val="cf01"/>
          <w:rFonts w:ascii="Arial" w:hAnsi="Arial" w:cs="Arial"/>
          <w:b/>
          <w:bCs/>
          <w:i/>
          <w:iCs/>
          <w:color w:val="FF0000"/>
          <w:sz w:val="24"/>
          <w:szCs w:val="24"/>
        </w:rPr>
        <w:t xml:space="preserve"> </w:t>
      </w:r>
      <w:r w:rsidRPr="00D15B50">
        <w:rPr>
          <w:rStyle w:val="cf01"/>
          <w:rFonts w:ascii="Arial" w:hAnsi="Arial" w:cs="Arial"/>
          <w:i/>
          <w:iCs/>
          <w:sz w:val="24"/>
          <w:szCs w:val="24"/>
        </w:rPr>
        <w:t>either in person or online</w:t>
      </w:r>
      <w:r w:rsidRPr="00D15B50">
        <w:rPr>
          <w:rStyle w:val="cf01"/>
          <w:rFonts w:ascii="Arial" w:hAnsi="Arial" w:cs="Arial"/>
          <w:sz w:val="24"/>
          <w:szCs w:val="24"/>
        </w:rPr>
        <w:t>. There will be a panel interviewing you and</w:t>
      </w:r>
      <w:r w:rsidRPr="00D15B50">
        <w:rPr>
          <w:rStyle w:val="cf01"/>
          <w:rFonts w:ascii="Arial" w:hAnsi="Arial" w:cs="Arial"/>
          <w:b/>
          <w:bCs/>
          <w:i/>
          <w:iCs/>
          <w:color w:val="FF0000"/>
          <w:sz w:val="24"/>
          <w:szCs w:val="24"/>
        </w:rPr>
        <w:t xml:space="preserve"> </w:t>
      </w:r>
      <w:r w:rsidRPr="00D15B50">
        <w:rPr>
          <w:rStyle w:val="cf01"/>
          <w:rFonts w:ascii="Arial" w:hAnsi="Arial" w:cs="Arial"/>
          <w:sz w:val="24"/>
          <w:szCs w:val="24"/>
        </w:rPr>
        <w:t>you may be asked to complete a task beforehand to present to the panel.</w:t>
      </w:r>
      <w:r w:rsidRPr="00D15B50">
        <w:rPr>
          <w:rFonts w:ascii="Arial" w:eastAsia="Arial" w:hAnsi="Arial" w:cs="Arial"/>
          <w:color w:val="000000" w:themeColor="text1"/>
          <w:sz w:val="24"/>
          <w:szCs w:val="24"/>
        </w:rPr>
        <w:t xml:space="preserve"> If you need any support or adjustment to the recruitment process at any stage, do please ask and we’d be pleased to work with you to put these in place so that you can perform to the best of your abilities throughout the process and demonstrate your suitability for the role. Please email </w:t>
      </w:r>
      <w:hyperlink r:id="rId8">
        <w:r w:rsidRPr="00D15B50">
          <w:rPr>
            <w:rStyle w:val="Hyperlink"/>
            <w:rFonts w:ascii="Arial" w:eastAsia="Arial" w:hAnsi="Arial" w:cs="Arial"/>
            <w:sz w:val="24"/>
            <w:szCs w:val="24"/>
          </w:rPr>
          <w:t>recruitment@backuptrust.org.uk</w:t>
        </w:r>
      </w:hyperlink>
    </w:p>
    <w:p w14:paraId="2ED16833" w14:textId="77777777" w:rsidR="0094069B" w:rsidRPr="00D15B50" w:rsidRDefault="0094069B" w:rsidP="0094069B">
      <w:pPr>
        <w:rPr>
          <w:rFonts w:ascii="Arial" w:eastAsia="Arial" w:hAnsi="Arial" w:cs="Arial"/>
          <w:b/>
          <w:bCs/>
          <w:color w:val="ED7D31" w:themeColor="accent2"/>
          <w:sz w:val="24"/>
          <w:szCs w:val="24"/>
        </w:rPr>
      </w:pPr>
      <w:r w:rsidRPr="00D15B50">
        <w:rPr>
          <w:rFonts w:ascii="Arial" w:eastAsia="Arial" w:hAnsi="Arial" w:cs="Arial"/>
          <w:b/>
          <w:bCs/>
          <w:color w:val="ED7D31" w:themeColor="accent2"/>
          <w:sz w:val="24"/>
          <w:szCs w:val="24"/>
        </w:rPr>
        <w:t>Guaranteed Interview Scheme</w:t>
      </w:r>
    </w:p>
    <w:p w14:paraId="32972D45" w14:textId="77777777" w:rsidR="0094069B" w:rsidRPr="00D15B50" w:rsidRDefault="0094069B" w:rsidP="0094069B">
      <w:pPr>
        <w:rPr>
          <w:rFonts w:ascii="Arial" w:eastAsia="Arial" w:hAnsi="Arial" w:cs="Arial"/>
          <w:color w:val="000000" w:themeColor="text1"/>
          <w:sz w:val="24"/>
          <w:szCs w:val="24"/>
        </w:rPr>
      </w:pPr>
      <w:r w:rsidRPr="00D15B50">
        <w:rPr>
          <w:rFonts w:ascii="Arial" w:eastAsia="Arial" w:hAnsi="Arial" w:cs="Arial"/>
          <w:color w:val="000000" w:themeColor="text1"/>
          <w:sz w:val="24"/>
          <w:szCs w:val="24"/>
        </w:rPr>
        <w:t>As a ‘Disability Confident’ employer we are committed to the inclusion of disabled people as candidates and employees. We are proud that we get high numbers of disabled people applying for roles at Back Up. We will offer an interview to a fair and proportionate number of disabled applicants that meet the minimum criteria for the job.</w:t>
      </w:r>
    </w:p>
    <w:p w14:paraId="6CB07825" w14:textId="77777777" w:rsidR="0094069B" w:rsidRPr="00D15B50" w:rsidRDefault="0094069B" w:rsidP="0094069B">
      <w:pPr>
        <w:rPr>
          <w:sz w:val="24"/>
          <w:szCs w:val="24"/>
        </w:rPr>
      </w:pPr>
      <w:r w:rsidRPr="00D15B50">
        <w:rPr>
          <w:rFonts w:ascii="Arial" w:eastAsia="Arial" w:hAnsi="Arial" w:cs="Arial"/>
          <w:color w:val="000000" w:themeColor="text1"/>
          <w:sz w:val="24"/>
          <w:szCs w:val="24"/>
        </w:rPr>
        <w:t xml:space="preserve">Please let us know if you are eligible for the scheme: </w:t>
      </w:r>
      <w:hyperlink r:id="rId9">
        <w:r w:rsidRPr="00D15B50">
          <w:rPr>
            <w:rStyle w:val="Hyperlink"/>
            <w:rFonts w:ascii="Arial" w:eastAsia="Arial" w:hAnsi="Arial" w:cs="Arial"/>
            <w:sz w:val="24"/>
            <w:szCs w:val="24"/>
          </w:rPr>
          <w:t>recruitment@backuptrust.org.uk.</w:t>
        </w:r>
      </w:hyperlink>
    </w:p>
    <w:p w14:paraId="48FE199A" w14:textId="77777777" w:rsidR="0094069B" w:rsidRPr="00D15B50" w:rsidRDefault="0094069B" w:rsidP="0094069B">
      <w:pPr>
        <w:rPr>
          <w:rFonts w:ascii="Arial" w:eastAsia="Arial" w:hAnsi="Arial" w:cs="Arial"/>
          <w:color w:val="000000" w:themeColor="text1"/>
          <w:sz w:val="24"/>
          <w:szCs w:val="24"/>
        </w:rPr>
      </w:pPr>
    </w:p>
    <w:p w14:paraId="57291404" w14:textId="77777777" w:rsidR="0094069B" w:rsidRPr="00D15B50" w:rsidRDefault="0094069B" w:rsidP="0094069B">
      <w:pPr>
        <w:spacing w:before="240" w:after="240"/>
        <w:rPr>
          <w:rFonts w:ascii="Arial" w:eastAsia="Arial" w:hAnsi="Arial" w:cs="Arial"/>
          <w:b/>
          <w:bCs/>
          <w:color w:val="ED7D31" w:themeColor="accent2"/>
          <w:sz w:val="24"/>
          <w:szCs w:val="24"/>
        </w:rPr>
      </w:pPr>
      <w:r w:rsidRPr="00D15B50">
        <w:rPr>
          <w:rFonts w:ascii="Arial" w:eastAsia="Arial" w:hAnsi="Arial" w:cs="Arial"/>
          <w:b/>
          <w:bCs/>
          <w:color w:val="ED7D31" w:themeColor="accent2"/>
          <w:sz w:val="24"/>
          <w:szCs w:val="24"/>
        </w:rPr>
        <w:t xml:space="preserve">Don’t meet every single requirement? </w:t>
      </w:r>
    </w:p>
    <w:bookmarkEnd w:id="2"/>
    <w:p w14:paraId="5DF1CCF2" w14:textId="7C44F99A" w:rsidR="0094069B" w:rsidRPr="00D15B50" w:rsidRDefault="0094069B" w:rsidP="0094069B">
      <w:pPr>
        <w:spacing w:before="240" w:after="240"/>
        <w:rPr>
          <w:rFonts w:ascii="Arial" w:eastAsia="Arial" w:hAnsi="Arial" w:cs="Arial"/>
          <w:sz w:val="24"/>
          <w:szCs w:val="24"/>
        </w:rPr>
      </w:pPr>
      <w:r w:rsidRPr="00D15B50">
        <w:rPr>
          <w:rFonts w:ascii="Arial" w:eastAsia="Arial" w:hAnsi="Arial" w:cs="Arial"/>
          <w:sz w:val="24"/>
          <w:szCs w:val="24"/>
        </w:rPr>
        <w:t xml:space="preserve">At Back Up we are dedicated to building a diverse, inclusive and authentic workplace, so if you’re excited about this role but your past experience doesn’t align perfectly with every </w:t>
      </w:r>
      <w:r w:rsidR="00F627C4" w:rsidRPr="00D15B50">
        <w:rPr>
          <w:rFonts w:ascii="Arial" w:eastAsia="Arial" w:hAnsi="Arial" w:cs="Arial"/>
          <w:sz w:val="24"/>
          <w:szCs w:val="24"/>
        </w:rPr>
        <w:t>criterion</w:t>
      </w:r>
      <w:r w:rsidRPr="00D15B50">
        <w:rPr>
          <w:rFonts w:ascii="Arial" w:eastAsia="Arial" w:hAnsi="Arial" w:cs="Arial"/>
          <w:sz w:val="24"/>
          <w:szCs w:val="24"/>
        </w:rPr>
        <w:t xml:space="preserve"> in the job description, we encourage you to apply anyway. You may be just the right candidate for this or other roles at Back Up.</w:t>
      </w:r>
    </w:p>
    <w:p w14:paraId="4360E9C6" w14:textId="05C30F7A" w:rsidR="000627FD" w:rsidRPr="00D15B50" w:rsidRDefault="000627FD" w:rsidP="0094069B">
      <w:pPr>
        <w:rPr>
          <w:sz w:val="24"/>
          <w:szCs w:val="24"/>
        </w:rPr>
      </w:pPr>
    </w:p>
    <w:sectPr w:rsidR="000627FD" w:rsidRPr="00D15B50" w:rsidSect="001D4EC8">
      <w:headerReference w:type="default" r:id="rId10"/>
      <w:footerReference w:type="default" r:id="rId11"/>
      <w:headerReference w:type="first" r:id="rId12"/>
      <w:footerReference w:type="first" r:id="rId13"/>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76E3" w14:textId="77777777" w:rsidR="00EA67EA" w:rsidRDefault="00EA67EA" w:rsidP="003B34BE">
      <w:pPr>
        <w:spacing w:after="0" w:line="240" w:lineRule="auto"/>
      </w:pPr>
      <w:r>
        <w:separator/>
      </w:r>
    </w:p>
  </w:endnote>
  <w:endnote w:type="continuationSeparator" w:id="0">
    <w:p w14:paraId="0FBD271A" w14:textId="77777777" w:rsidR="00EA67EA" w:rsidRDefault="00EA67EA" w:rsidP="003B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897" w:type="dxa"/>
      <w:tblLook w:val="0600" w:firstRow="0" w:lastRow="0" w:firstColumn="0" w:lastColumn="0" w:noHBand="1" w:noVBand="1"/>
    </w:tblPr>
    <w:tblGrid>
      <w:gridCol w:w="10897"/>
    </w:tblGrid>
    <w:tr w:rsidR="001D4EC8" w:rsidRPr="001A0408" w14:paraId="7D9E6A01" w14:textId="77777777" w:rsidTr="003B7A6B">
      <w:trPr>
        <w:trHeight w:val="344"/>
      </w:trPr>
      <w:tc>
        <w:tcPr>
          <w:tcW w:w="10897" w:type="dxa"/>
          <w:vAlign w:val="center"/>
        </w:tcPr>
        <w:p w14:paraId="7C9BBC94" w14:textId="77777777" w:rsidR="001D4EC8" w:rsidRPr="001A0408" w:rsidRDefault="001D4EC8" w:rsidP="001D4EC8">
          <w:pPr>
            <w:pStyle w:val="Footer"/>
            <w:jc w:val="center"/>
            <w:rPr>
              <w:rFonts w:ascii="Aptos Light" w:hAnsi="Aptos Light"/>
              <w:sz w:val="16"/>
              <w:szCs w:val="16"/>
            </w:rPr>
          </w:pPr>
          <w:r>
            <w:rPr>
              <w:rFonts w:ascii="Aptos Light" w:hAnsi="Aptos Light"/>
              <w:noProof/>
              <w:sz w:val="16"/>
              <w:szCs w:val="16"/>
            </w:rPr>
            <w:t xml:space="preserve">                                                                                                                                                                                                                    </w:t>
          </w:r>
          <w:r w:rsidRPr="001A0408">
            <w:rPr>
              <w:rFonts w:ascii="Aptos Light" w:hAnsi="Aptos Light"/>
              <w:noProof/>
              <w:sz w:val="16"/>
              <w:szCs w:val="16"/>
            </w:rPr>
            <w:t xml:space="preserve">Backuptrust.org.uk      </w:t>
          </w:r>
          <w:r w:rsidRPr="001A0408">
            <w:rPr>
              <w:rFonts w:ascii="Aptos Light" w:hAnsi="Aptos Light"/>
              <w:noProof/>
              <w:sz w:val="16"/>
              <w:szCs w:val="16"/>
            </w:rPr>
            <w:drawing>
              <wp:inline distT="0" distB="0" distL="0" distR="0" wp14:anchorId="5F0855E8" wp14:editId="5DD482DD">
                <wp:extent cx="276860" cy="276860"/>
                <wp:effectExtent l="0" t="0" r="8890" b="8890"/>
                <wp:docPr id="583639296" name="Footer 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84632" name="Footer Graphic 9"/>
                        <pic:cNvPicPr/>
                      </pic:nvPicPr>
                      <pic:blipFill>
                        <a:blip r:embed="rId1">
                          <a:extLst>
                            <a:ext uri="{96DAC541-7B7A-43D3-8B79-37D633B846F1}">
                              <asvg:svgBlip xmlns:asvg="http://schemas.microsoft.com/office/drawing/2016/SVG/main" r:embed="rId2"/>
                            </a:ext>
                          </a:extLst>
                        </a:blip>
                        <a:stretch>
                          <a:fillRect/>
                        </a:stretch>
                      </pic:blipFill>
                      <pic:spPr>
                        <a:xfrm>
                          <a:off x="0" y="0"/>
                          <a:ext cx="276860" cy="276860"/>
                        </a:xfrm>
                        <a:prstGeom prst="rect">
                          <a:avLst/>
                        </a:prstGeom>
                      </pic:spPr>
                    </pic:pic>
                  </a:graphicData>
                </a:graphic>
              </wp:inline>
            </w:drawing>
          </w:r>
        </w:p>
      </w:tc>
    </w:tr>
    <w:tr w:rsidR="001D4EC8" w:rsidRPr="001A0408" w14:paraId="0EC60DB3" w14:textId="77777777" w:rsidTr="003B7A6B">
      <w:trPr>
        <w:trHeight w:val="344"/>
      </w:trPr>
      <w:tc>
        <w:tcPr>
          <w:tcW w:w="10897" w:type="dxa"/>
          <w:vAlign w:val="center"/>
        </w:tcPr>
        <w:p w14:paraId="4155AC76" w14:textId="77777777" w:rsidR="001D4EC8" w:rsidRPr="001A0408" w:rsidRDefault="001D4EC8" w:rsidP="001D4EC8">
          <w:pPr>
            <w:pStyle w:val="Footer"/>
            <w:rPr>
              <w:rFonts w:ascii="Aptos Light" w:hAnsi="Aptos Light"/>
              <w:b/>
              <w:noProof/>
              <w:sz w:val="16"/>
              <w:szCs w:val="16"/>
            </w:rPr>
          </w:pPr>
          <w:r w:rsidRPr="001A0408">
            <w:rPr>
              <w:rFonts w:ascii="Aptos Light" w:hAnsi="Aptos Light"/>
              <w:noProof/>
              <w:sz w:val="16"/>
              <w:szCs w:val="16"/>
            </w:rPr>
            <w:t>Registered Charity No. 1072216 and SC040577 Charitable Company No. 3596996</w:t>
          </w:r>
        </w:p>
      </w:tc>
    </w:tr>
  </w:tbl>
  <w:p w14:paraId="517124C0" w14:textId="77777777" w:rsidR="001D4EC8" w:rsidRDefault="001D4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897" w:type="dxa"/>
      <w:tblLook w:val="0600" w:firstRow="0" w:lastRow="0" w:firstColumn="0" w:lastColumn="0" w:noHBand="1" w:noVBand="1"/>
    </w:tblPr>
    <w:tblGrid>
      <w:gridCol w:w="10897"/>
    </w:tblGrid>
    <w:tr w:rsidR="00A96429" w:rsidRPr="001A0408" w14:paraId="5F1934F6" w14:textId="77777777" w:rsidTr="003B7A6B">
      <w:trPr>
        <w:trHeight w:val="344"/>
      </w:trPr>
      <w:tc>
        <w:tcPr>
          <w:tcW w:w="10897" w:type="dxa"/>
          <w:vAlign w:val="center"/>
        </w:tcPr>
        <w:p w14:paraId="17958B99" w14:textId="2476E9EE" w:rsidR="00A96429" w:rsidRPr="001A0408" w:rsidRDefault="001D4EC8" w:rsidP="001D4EC8">
          <w:pPr>
            <w:pStyle w:val="Footer"/>
            <w:jc w:val="center"/>
            <w:rPr>
              <w:rFonts w:ascii="Aptos Light" w:hAnsi="Aptos Light"/>
              <w:sz w:val="16"/>
              <w:szCs w:val="16"/>
            </w:rPr>
          </w:pPr>
          <w:r>
            <w:rPr>
              <w:rFonts w:ascii="Aptos Light" w:hAnsi="Aptos Light"/>
              <w:noProof/>
              <w:sz w:val="16"/>
              <w:szCs w:val="16"/>
            </w:rPr>
            <w:t xml:space="preserve">                                                                                                                                                                                                                    </w:t>
          </w:r>
          <w:r w:rsidR="00A96429" w:rsidRPr="001A0408">
            <w:rPr>
              <w:rFonts w:ascii="Aptos Light" w:hAnsi="Aptos Light"/>
              <w:noProof/>
              <w:sz w:val="16"/>
              <w:szCs w:val="16"/>
            </w:rPr>
            <w:t xml:space="preserve">Backuptrust.org.uk      </w:t>
          </w:r>
          <w:r w:rsidR="00A96429" w:rsidRPr="001A0408">
            <w:rPr>
              <w:rFonts w:ascii="Aptos Light" w:hAnsi="Aptos Light"/>
              <w:noProof/>
              <w:sz w:val="16"/>
              <w:szCs w:val="16"/>
            </w:rPr>
            <w:drawing>
              <wp:inline distT="0" distB="0" distL="0" distR="0" wp14:anchorId="0B3EFC78" wp14:editId="0A683BF9">
                <wp:extent cx="276860" cy="276860"/>
                <wp:effectExtent l="0" t="0" r="8890" b="8890"/>
                <wp:docPr id="1592434037" name="Footer 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84632" name="Footer Graphic 9"/>
                        <pic:cNvPicPr/>
                      </pic:nvPicPr>
                      <pic:blipFill>
                        <a:blip r:embed="rId1">
                          <a:extLst>
                            <a:ext uri="{96DAC541-7B7A-43D3-8B79-37D633B846F1}">
                              <asvg:svgBlip xmlns:asvg="http://schemas.microsoft.com/office/drawing/2016/SVG/main" r:embed="rId2"/>
                            </a:ext>
                          </a:extLst>
                        </a:blip>
                        <a:stretch>
                          <a:fillRect/>
                        </a:stretch>
                      </pic:blipFill>
                      <pic:spPr>
                        <a:xfrm>
                          <a:off x="0" y="0"/>
                          <a:ext cx="276860" cy="276860"/>
                        </a:xfrm>
                        <a:prstGeom prst="rect">
                          <a:avLst/>
                        </a:prstGeom>
                      </pic:spPr>
                    </pic:pic>
                  </a:graphicData>
                </a:graphic>
              </wp:inline>
            </w:drawing>
          </w:r>
        </w:p>
      </w:tc>
    </w:tr>
    <w:tr w:rsidR="00A96429" w:rsidRPr="001A0408" w14:paraId="72283325" w14:textId="77777777" w:rsidTr="003B7A6B">
      <w:trPr>
        <w:trHeight w:val="344"/>
      </w:trPr>
      <w:tc>
        <w:tcPr>
          <w:tcW w:w="10897" w:type="dxa"/>
          <w:vAlign w:val="center"/>
        </w:tcPr>
        <w:p w14:paraId="6511AD0A" w14:textId="77777777" w:rsidR="00A96429" w:rsidRPr="001A0408" w:rsidRDefault="00A96429" w:rsidP="00A96429">
          <w:pPr>
            <w:pStyle w:val="Footer"/>
            <w:rPr>
              <w:rFonts w:ascii="Aptos Light" w:hAnsi="Aptos Light"/>
              <w:b/>
              <w:noProof/>
              <w:sz w:val="16"/>
              <w:szCs w:val="16"/>
            </w:rPr>
          </w:pPr>
          <w:r w:rsidRPr="001A0408">
            <w:rPr>
              <w:rFonts w:ascii="Aptos Light" w:hAnsi="Aptos Light"/>
              <w:noProof/>
              <w:sz w:val="16"/>
              <w:szCs w:val="16"/>
            </w:rPr>
            <w:t>Registered Charity No. 1072216 and SC040577 Charitable Company No. 3596996</w:t>
          </w:r>
        </w:p>
      </w:tc>
    </w:tr>
  </w:tbl>
  <w:p w14:paraId="0EAA8368" w14:textId="77777777" w:rsidR="00A96429" w:rsidRDefault="00A96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5242" w14:textId="77777777" w:rsidR="00EA67EA" w:rsidRDefault="00EA67EA" w:rsidP="003B34BE">
      <w:pPr>
        <w:spacing w:after="0" w:line="240" w:lineRule="auto"/>
      </w:pPr>
      <w:r>
        <w:separator/>
      </w:r>
    </w:p>
  </w:footnote>
  <w:footnote w:type="continuationSeparator" w:id="0">
    <w:p w14:paraId="0B6CD268" w14:textId="77777777" w:rsidR="00EA67EA" w:rsidRDefault="00EA67EA" w:rsidP="003B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F428" w14:textId="7DA27B95" w:rsidR="003B34BE" w:rsidRDefault="003B34BE" w:rsidP="003B34BE">
    <w:pPr>
      <w:pStyle w:val="Header"/>
      <w:tabs>
        <w:tab w:val="clear" w:pos="9026"/>
        <w:tab w:val="left" w:pos="504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CA99" w14:textId="5CDA017A" w:rsidR="003B34BE" w:rsidRDefault="00D15B50">
    <w:pPr>
      <w:pStyle w:val="Header"/>
    </w:pPr>
    <w:r>
      <w:rPr>
        <w:noProof/>
      </w:rPr>
      <w:drawing>
        <wp:inline distT="0" distB="0" distL="0" distR="0" wp14:anchorId="327795DD" wp14:editId="30BD1262">
          <wp:extent cx="849340" cy="326959"/>
          <wp:effectExtent l="0" t="0" r="0" b="0"/>
          <wp:docPr id="344650482" name="drawing"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50482" name="drawing" descr="A black background with a black square&#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849340" cy="326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175F"/>
    <w:multiLevelType w:val="hybridMultilevel"/>
    <w:tmpl w:val="8A1487B0"/>
    <w:lvl w:ilvl="0" w:tplc="E9609A62">
      <w:start w:val="1"/>
      <w:numFmt w:val="bullet"/>
      <w:lvlText w:val=""/>
      <w:lvlJc w:val="left"/>
      <w:pPr>
        <w:ind w:left="720" w:hanging="360"/>
      </w:pPr>
      <w:rPr>
        <w:rFonts w:ascii="Symbol" w:hAnsi="Symbol" w:hint="default"/>
      </w:rPr>
    </w:lvl>
    <w:lvl w:ilvl="1" w:tplc="0AFCCC82">
      <w:start w:val="1"/>
      <w:numFmt w:val="bullet"/>
      <w:lvlText w:val="o"/>
      <w:lvlJc w:val="left"/>
      <w:pPr>
        <w:ind w:left="1440" w:hanging="360"/>
      </w:pPr>
      <w:rPr>
        <w:rFonts w:ascii="Courier New" w:hAnsi="Courier New" w:hint="default"/>
      </w:rPr>
    </w:lvl>
    <w:lvl w:ilvl="2" w:tplc="0D0A7C88">
      <w:start w:val="1"/>
      <w:numFmt w:val="bullet"/>
      <w:lvlText w:val=""/>
      <w:lvlJc w:val="left"/>
      <w:pPr>
        <w:ind w:left="2160" w:hanging="360"/>
      </w:pPr>
      <w:rPr>
        <w:rFonts w:ascii="Wingdings" w:hAnsi="Wingdings" w:hint="default"/>
      </w:rPr>
    </w:lvl>
    <w:lvl w:ilvl="3" w:tplc="080E5370">
      <w:start w:val="1"/>
      <w:numFmt w:val="bullet"/>
      <w:lvlText w:val=""/>
      <w:lvlJc w:val="left"/>
      <w:pPr>
        <w:ind w:left="2880" w:hanging="360"/>
      </w:pPr>
      <w:rPr>
        <w:rFonts w:ascii="Symbol" w:hAnsi="Symbol" w:hint="default"/>
      </w:rPr>
    </w:lvl>
    <w:lvl w:ilvl="4" w:tplc="5900E24C">
      <w:start w:val="1"/>
      <w:numFmt w:val="bullet"/>
      <w:lvlText w:val="o"/>
      <w:lvlJc w:val="left"/>
      <w:pPr>
        <w:ind w:left="3600" w:hanging="360"/>
      </w:pPr>
      <w:rPr>
        <w:rFonts w:ascii="Courier New" w:hAnsi="Courier New" w:hint="default"/>
      </w:rPr>
    </w:lvl>
    <w:lvl w:ilvl="5" w:tplc="3A1EE430">
      <w:start w:val="1"/>
      <w:numFmt w:val="bullet"/>
      <w:lvlText w:val=""/>
      <w:lvlJc w:val="left"/>
      <w:pPr>
        <w:ind w:left="4320" w:hanging="360"/>
      </w:pPr>
      <w:rPr>
        <w:rFonts w:ascii="Wingdings" w:hAnsi="Wingdings" w:hint="default"/>
      </w:rPr>
    </w:lvl>
    <w:lvl w:ilvl="6" w:tplc="BCA6E034">
      <w:start w:val="1"/>
      <w:numFmt w:val="bullet"/>
      <w:lvlText w:val=""/>
      <w:lvlJc w:val="left"/>
      <w:pPr>
        <w:ind w:left="5040" w:hanging="360"/>
      </w:pPr>
      <w:rPr>
        <w:rFonts w:ascii="Symbol" w:hAnsi="Symbol" w:hint="default"/>
      </w:rPr>
    </w:lvl>
    <w:lvl w:ilvl="7" w:tplc="EFA070BE">
      <w:start w:val="1"/>
      <w:numFmt w:val="bullet"/>
      <w:lvlText w:val="o"/>
      <w:lvlJc w:val="left"/>
      <w:pPr>
        <w:ind w:left="5760" w:hanging="360"/>
      </w:pPr>
      <w:rPr>
        <w:rFonts w:ascii="Courier New" w:hAnsi="Courier New" w:hint="default"/>
      </w:rPr>
    </w:lvl>
    <w:lvl w:ilvl="8" w:tplc="C130C9F2">
      <w:start w:val="1"/>
      <w:numFmt w:val="bullet"/>
      <w:lvlText w:val=""/>
      <w:lvlJc w:val="left"/>
      <w:pPr>
        <w:ind w:left="6480" w:hanging="360"/>
      </w:pPr>
      <w:rPr>
        <w:rFonts w:ascii="Wingdings" w:hAnsi="Wingdings" w:hint="default"/>
      </w:rPr>
    </w:lvl>
  </w:abstractNum>
  <w:abstractNum w:abstractNumId="1" w15:restartNumberingAfterBreak="0">
    <w:nsid w:val="245A5B52"/>
    <w:multiLevelType w:val="hybridMultilevel"/>
    <w:tmpl w:val="5A96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570816">
    <w:abstractNumId w:val="0"/>
  </w:num>
  <w:num w:numId="2" w16cid:durableId="1649820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9D"/>
    <w:rsid w:val="00016FD2"/>
    <w:rsid w:val="00037F80"/>
    <w:rsid w:val="00042552"/>
    <w:rsid w:val="00047FB7"/>
    <w:rsid w:val="00060064"/>
    <w:rsid w:val="00060635"/>
    <w:rsid w:val="0006122A"/>
    <w:rsid w:val="000627FD"/>
    <w:rsid w:val="00063F8D"/>
    <w:rsid w:val="0007718D"/>
    <w:rsid w:val="000829B6"/>
    <w:rsid w:val="000A01E3"/>
    <w:rsid w:val="000B269B"/>
    <w:rsid w:val="000F7AD1"/>
    <w:rsid w:val="0014460A"/>
    <w:rsid w:val="00191BD0"/>
    <w:rsid w:val="001922CC"/>
    <w:rsid w:val="001A1127"/>
    <w:rsid w:val="001A69BE"/>
    <w:rsid w:val="001C0818"/>
    <w:rsid w:val="001C5841"/>
    <w:rsid w:val="001D3764"/>
    <w:rsid w:val="001D4EC8"/>
    <w:rsid w:val="001E2B35"/>
    <w:rsid w:val="001F3FE4"/>
    <w:rsid w:val="001F74EF"/>
    <w:rsid w:val="0023742F"/>
    <w:rsid w:val="002378B2"/>
    <w:rsid w:val="00253359"/>
    <w:rsid w:val="00260D24"/>
    <w:rsid w:val="00287B85"/>
    <w:rsid w:val="002A19A1"/>
    <w:rsid w:val="002A28B3"/>
    <w:rsid w:val="002B5106"/>
    <w:rsid w:val="002D56D9"/>
    <w:rsid w:val="002D6625"/>
    <w:rsid w:val="002E7A0B"/>
    <w:rsid w:val="00333FE1"/>
    <w:rsid w:val="003549C4"/>
    <w:rsid w:val="0035517A"/>
    <w:rsid w:val="00367E0D"/>
    <w:rsid w:val="00391F24"/>
    <w:rsid w:val="003961C4"/>
    <w:rsid w:val="003A61F7"/>
    <w:rsid w:val="003B208D"/>
    <w:rsid w:val="003B34BE"/>
    <w:rsid w:val="003B3D86"/>
    <w:rsid w:val="003B5444"/>
    <w:rsid w:val="003C29DF"/>
    <w:rsid w:val="003C42B4"/>
    <w:rsid w:val="003C5B15"/>
    <w:rsid w:val="003E3958"/>
    <w:rsid w:val="003F7D19"/>
    <w:rsid w:val="00400E53"/>
    <w:rsid w:val="0043044C"/>
    <w:rsid w:val="00434EFF"/>
    <w:rsid w:val="00453B72"/>
    <w:rsid w:val="00460DBB"/>
    <w:rsid w:val="00463496"/>
    <w:rsid w:val="004D277C"/>
    <w:rsid w:val="00503A84"/>
    <w:rsid w:val="00507937"/>
    <w:rsid w:val="00511E9B"/>
    <w:rsid w:val="00553749"/>
    <w:rsid w:val="0055797B"/>
    <w:rsid w:val="00561A3A"/>
    <w:rsid w:val="00561FDB"/>
    <w:rsid w:val="00563719"/>
    <w:rsid w:val="00574D00"/>
    <w:rsid w:val="00584E82"/>
    <w:rsid w:val="00594A83"/>
    <w:rsid w:val="005A3E95"/>
    <w:rsid w:val="005B2DD3"/>
    <w:rsid w:val="005B719D"/>
    <w:rsid w:val="005D0216"/>
    <w:rsid w:val="005E2589"/>
    <w:rsid w:val="005E7CE6"/>
    <w:rsid w:val="0060010A"/>
    <w:rsid w:val="006206C2"/>
    <w:rsid w:val="00654735"/>
    <w:rsid w:val="0065646F"/>
    <w:rsid w:val="00665419"/>
    <w:rsid w:val="00687F11"/>
    <w:rsid w:val="00693D6F"/>
    <w:rsid w:val="006A7068"/>
    <w:rsid w:val="006B3588"/>
    <w:rsid w:val="006D0808"/>
    <w:rsid w:val="006D57EA"/>
    <w:rsid w:val="006D5BCE"/>
    <w:rsid w:val="006E0AAC"/>
    <w:rsid w:val="006E5238"/>
    <w:rsid w:val="00746BB4"/>
    <w:rsid w:val="007511B8"/>
    <w:rsid w:val="00761792"/>
    <w:rsid w:val="00770689"/>
    <w:rsid w:val="00777402"/>
    <w:rsid w:val="0078025F"/>
    <w:rsid w:val="007848F4"/>
    <w:rsid w:val="007A2AFC"/>
    <w:rsid w:val="007A77B7"/>
    <w:rsid w:val="007B71EC"/>
    <w:rsid w:val="007D7CE6"/>
    <w:rsid w:val="007E7A0B"/>
    <w:rsid w:val="007F468C"/>
    <w:rsid w:val="00810137"/>
    <w:rsid w:val="00834D0B"/>
    <w:rsid w:val="008448BA"/>
    <w:rsid w:val="008451EF"/>
    <w:rsid w:val="00845941"/>
    <w:rsid w:val="00874796"/>
    <w:rsid w:val="0088675B"/>
    <w:rsid w:val="008A35B2"/>
    <w:rsid w:val="008B3BF7"/>
    <w:rsid w:val="008C4C40"/>
    <w:rsid w:val="008E0A0D"/>
    <w:rsid w:val="0090272E"/>
    <w:rsid w:val="00906C08"/>
    <w:rsid w:val="00910C52"/>
    <w:rsid w:val="009116AB"/>
    <w:rsid w:val="00927436"/>
    <w:rsid w:val="0093125A"/>
    <w:rsid w:val="0094069B"/>
    <w:rsid w:val="00976DB6"/>
    <w:rsid w:val="00990412"/>
    <w:rsid w:val="0099690A"/>
    <w:rsid w:val="009B2B4F"/>
    <w:rsid w:val="009B7C2F"/>
    <w:rsid w:val="009C1BEE"/>
    <w:rsid w:val="00A12093"/>
    <w:rsid w:val="00A15908"/>
    <w:rsid w:val="00A30B5F"/>
    <w:rsid w:val="00A436F6"/>
    <w:rsid w:val="00A950A1"/>
    <w:rsid w:val="00A96429"/>
    <w:rsid w:val="00AD7FBE"/>
    <w:rsid w:val="00AF19DD"/>
    <w:rsid w:val="00AF5E9C"/>
    <w:rsid w:val="00B00E75"/>
    <w:rsid w:val="00B0249C"/>
    <w:rsid w:val="00B03573"/>
    <w:rsid w:val="00B0570B"/>
    <w:rsid w:val="00B20929"/>
    <w:rsid w:val="00B27DC2"/>
    <w:rsid w:val="00B3451E"/>
    <w:rsid w:val="00B57DD8"/>
    <w:rsid w:val="00B62FEC"/>
    <w:rsid w:val="00B76C1C"/>
    <w:rsid w:val="00B82204"/>
    <w:rsid w:val="00B97A0A"/>
    <w:rsid w:val="00B97ACB"/>
    <w:rsid w:val="00BA5B7B"/>
    <w:rsid w:val="00BA6031"/>
    <w:rsid w:val="00BD21F0"/>
    <w:rsid w:val="00BE361F"/>
    <w:rsid w:val="00BE51DC"/>
    <w:rsid w:val="00C00159"/>
    <w:rsid w:val="00C32982"/>
    <w:rsid w:val="00C359BE"/>
    <w:rsid w:val="00C41CA2"/>
    <w:rsid w:val="00C42C6F"/>
    <w:rsid w:val="00C5202D"/>
    <w:rsid w:val="00C56EFB"/>
    <w:rsid w:val="00CB749D"/>
    <w:rsid w:val="00CE1F70"/>
    <w:rsid w:val="00CF1AA8"/>
    <w:rsid w:val="00D009AC"/>
    <w:rsid w:val="00D15B50"/>
    <w:rsid w:val="00D1714C"/>
    <w:rsid w:val="00D35FC9"/>
    <w:rsid w:val="00D40E0F"/>
    <w:rsid w:val="00D509B6"/>
    <w:rsid w:val="00D56923"/>
    <w:rsid w:val="00D64CD6"/>
    <w:rsid w:val="00D7032A"/>
    <w:rsid w:val="00D765E9"/>
    <w:rsid w:val="00D94F3D"/>
    <w:rsid w:val="00DA7DE9"/>
    <w:rsid w:val="00DB43D9"/>
    <w:rsid w:val="00DB6D25"/>
    <w:rsid w:val="00DC507F"/>
    <w:rsid w:val="00DC7D05"/>
    <w:rsid w:val="00DD5F58"/>
    <w:rsid w:val="00DF2625"/>
    <w:rsid w:val="00DF6EBB"/>
    <w:rsid w:val="00E0134B"/>
    <w:rsid w:val="00E03F5D"/>
    <w:rsid w:val="00E11FD7"/>
    <w:rsid w:val="00E34A5B"/>
    <w:rsid w:val="00E86D5D"/>
    <w:rsid w:val="00E926BE"/>
    <w:rsid w:val="00EA67EA"/>
    <w:rsid w:val="00EB15AE"/>
    <w:rsid w:val="00EB5682"/>
    <w:rsid w:val="00ED730F"/>
    <w:rsid w:val="00EE3CCA"/>
    <w:rsid w:val="00EF21A2"/>
    <w:rsid w:val="00F12A7C"/>
    <w:rsid w:val="00F16962"/>
    <w:rsid w:val="00F33FC6"/>
    <w:rsid w:val="00F4007E"/>
    <w:rsid w:val="00F50723"/>
    <w:rsid w:val="00F627C4"/>
    <w:rsid w:val="00F73714"/>
    <w:rsid w:val="00F74FE1"/>
    <w:rsid w:val="00FA0419"/>
    <w:rsid w:val="00FB6037"/>
    <w:rsid w:val="00FD7703"/>
    <w:rsid w:val="4DD1ABBE"/>
    <w:rsid w:val="6A5DF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681D"/>
  <w15:chartTrackingRefBased/>
  <w15:docId w15:val="{10A63411-2F06-4360-B32D-704EA256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34A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588"/>
    <w:pPr>
      <w:ind w:left="720"/>
      <w:contextualSpacing/>
    </w:pPr>
  </w:style>
  <w:style w:type="paragraph" w:styleId="Revision">
    <w:name w:val="Revision"/>
    <w:hidden/>
    <w:uiPriority w:val="99"/>
    <w:semiHidden/>
    <w:rsid w:val="00EF21A2"/>
    <w:pPr>
      <w:spacing w:after="0" w:line="240" w:lineRule="auto"/>
    </w:pPr>
  </w:style>
  <w:style w:type="character" w:styleId="Hyperlink">
    <w:name w:val="Hyperlink"/>
    <w:basedOn w:val="DefaultParagraphFont"/>
    <w:uiPriority w:val="99"/>
    <w:unhideWhenUsed/>
    <w:rsid w:val="00060064"/>
    <w:rPr>
      <w:color w:val="0563C1" w:themeColor="hyperlink"/>
      <w:u w:val="single"/>
    </w:rPr>
  </w:style>
  <w:style w:type="character" w:styleId="UnresolvedMention">
    <w:name w:val="Unresolved Mention"/>
    <w:basedOn w:val="DefaultParagraphFont"/>
    <w:uiPriority w:val="99"/>
    <w:semiHidden/>
    <w:unhideWhenUsed/>
    <w:rsid w:val="00060064"/>
    <w:rPr>
      <w:color w:val="605E5C"/>
      <w:shd w:val="clear" w:color="auto" w:fill="E1DFDD"/>
    </w:rPr>
  </w:style>
  <w:style w:type="paragraph" w:styleId="Header">
    <w:name w:val="header"/>
    <w:basedOn w:val="Normal"/>
    <w:link w:val="HeaderChar"/>
    <w:uiPriority w:val="99"/>
    <w:unhideWhenUsed/>
    <w:rsid w:val="003B3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4BE"/>
  </w:style>
  <w:style w:type="paragraph" w:styleId="Footer">
    <w:name w:val="footer"/>
    <w:basedOn w:val="Normal"/>
    <w:link w:val="FooterChar"/>
    <w:uiPriority w:val="99"/>
    <w:unhideWhenUsed/>
    <w:rsid w:val="003B3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4BE"/>
  </w:style>
  <w:style w:type="paragraph" w:customStyle="1" w:styleId="Default">
    <w:name w:val="Default"/>
    <w:rsid w:val="007B71EC"/>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E34A5B"/>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94069B"/>
    <w:rPr>
      <w:rFonts w:ascii="Segoe UI" w:hAnsi="Segoe UI" w:cs="Segoe UI" w:hint="default"/>
      <w:sz w:val="18"/>
      <w:szCs w:val="18"/>
    </w:rPr>
  </w:style>
  <w:style w:type="table" w:styleId="TableGridLight">
    <w:name w:val="Grid Table Light"/>
    <w:basedOn w:val="TableNormal"/>
    <w:uiPriority w:val="40"/>
    <w:rsid w:val="00A96429"/>
    <w:pPr>
      <w:spacing w:after="0" w:line="240" w:lineRule="auto"/>
    </w:pPr>
    <w:rPr>
      <w:rFonts w:eastAsia="Times New Roman" w:cs="Times New Roman"/>
      <w:sz w:val="17"/>
      <w:szCs w:val="17"/>
      <w:lang w:eastAsia="en-GB"/>
    </w:rPr>
    <w:tblPr>
      <w:tblCellMar>
        <w:left w:w="0" w:type="dxa"/>
        <w:right w:w="0" w:type="dxa"/>
      </w:tblCellMar>
    </w:tblPr>
    <w:tcPr>
      <w:vAlign w:val="bottom"/>
    </w:tcPr>
    <w:tblStylePr w:type="firstCol">
      <w:pPr>
        <w:wordWrap/>
        <w:jc w:val="left"/>
      </w:pPr>
    </w:tblStylePr>
    <w:tblStylePr w:type="lastCol">
      <w:pPr>
        <w:wordWrap/>
        <w:jc w:val="righ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7132">
      <w:bodyDiv w:val="1"/>
      <w:marLeft w:val="0"/>
      <w:marRight w:val="0"/>
      <w:marTop w:val="0"/>
      <w:marBottom w:val="0"/>
      <w:divBdr>
        <w:top w:val="none" w:sz="0" w:space="0" w:color="auto"/>
        <w:left w:val="none" w:sz="0" w:space="0" w:color="auto"/>
        <w:bottom w:val="none" w:sz="0" w:space="0" w:color="auto"/>
        <w:right w:val="none" w:sz="0" w:space="0" w:color="auto"/>
      </w:divBdr>
    </w:div>
    <w:div w:id="345446283">
      <w:bodyDiv w:val="1"/>
      <w:marLeft w:val="0"/>
      <w:marRight w:val="0"/>
      <w:marTop w:val="0"/>
      <w:marBottom w:val="0"/>
      <w:divBdr>
        <w:top w:val="none" w:sz="0" w:space="0" w:color="auto"/>
        <w:left w:val="none" w:sz="0" w:space="0" w:color="auto"/>
        <w:bottom w:val="none" w:sz="0" w:space="0" w:color="auto"/>
        <w:right w:val="none" w:sz="0" w:space="0" w:color="auto"/>
      </w:divBdr>
    </w:div>
    <w:div w:id="835262149">
      <w:bodyDiv w:val="1"/>
      <w:marLeft w:val="0"/>
      <w:marRight w:val="0"/>
      <w:marTop w:val="0"/>
      <w:marBottom w:val="0"/>
      <w:divBdr>
        <w:top w:val="none" w:sz="0" w:space="0" w:color="auto"/>
        <w:left w:val="none" w:sz="0" w:space="0" w:color="auto"/>
        <w:bottom w:val="none" w:sz="0" w:space="0" w:color="auto"/>
        <w:right w:val="none" w:sz="0" w:space="0" w:color="auto"/>
      </w:divBdr>
    </w:div>
    <w:div w:id="1143160467">
      <w:bodyDiv w:val="1"/>
      <w:marLeft w:val="0"/>
      <w:marRight w:val="0"/>
      <w:marTop w:val="0"/>
      <w:marBottom w:val="0"/>
      <w:divBdr>
        <w:top w:val="none" w:sz="0" w:space="0" w:color="auto"/>
        <w:left w:val="none" w:sz="0" w:space="0" w:color="auto"/>
        <w:bottom w:val="none" w:sz="0" w:space="0" w:color="auto"/>
        <w:right w:val="none" w:sz="0" w:space="0" w:color="auto"/>
      </w:divBdr>
    </w:div>
    <w:div w:id="1198468978">
      <w:bodyDiv w:val="1"/>
      <w:marLeft w:val="0"/>
      <w:marRight w:val="0"/>
      <w:marTop w:val="0"/>
      <w:marBottom w:val="0"/>
      <w:divBdr>
        <w:top w:val="none" w:sz="0" w:space="0" w:color="auto"/>
        <w:left w:val="none" w:sz="0" w:space="0" w:color="auto"/>
        <w:bottom w:val="none" w:sz="0" w:space="0" w:color="auto"/>
        <w:right w:val="none" w:sz="0" w:space="0" w:color="auto"/>
      </w:divBdr>
    </w:div>
    <w:div w:id="1273397050">
      <w:bodyDiv w:val="1"/>
      <w:marLeft w:val="0"/>
      <w:marRight w:val="0"/>
      <w:marTop w:val="0"/>
      <w:marBottom w:val="0"/>
      <w:divBdr>
        <w:top w:val="none" w:sz="0" w:space="0" w:color="auto"/>
        <w:left w:val="none" w:sz="0" w:space="0" w:color="auto"/>
        <w:bottom w:val="none" w:sz="0" w:space="0" w:color="auto"/>
        <w:right w:val="none" w:sz="0" w:space="0" w:color="auto"/>
      </w:divBdr>
    </w:div>
    <w:div w:id="1517888586">
      <w:bodyDiv w:val="1"/>
      <w:marLeft w:val="0"/>
      <w:marRight w:val="0"/>
      <w:marTop w:val="0"/>
      <w:marBottom w:val="0"/>
      <w:divBdr>
        <w:top w:val="none" w:sz="0" w:space="0" w:color="auto"/>
        <w:left w:val="none" w:sz="0" w:space="0" w:color="auto"/>
        <w:bottom w:val="none" w:sz="0" w:space="0" w:color="auto"/>
        <w:right w:val="none" w:sz="0" w:space="0" w:color="auto"/>
      </w:divBdr>
    </w:div>
    <w:div w:id="1555585695">
      <w:bodyDiv w:val="1"/>
      <w:marLeft w:val="0"/>
      <w:marRight w:val="0"/>
      <w:marTop w:val="0"/>
      <w:marBottom w:val="0"/>
      <w:divBdr>
        <w:top w:val="none" w:sz="0" w:space="0" w:color="auto"/>
        <w:left w:val="none" w:sz="0" w:space="0" w:color="auto"/>
        <w:bottom w:val="none" w:sz="0" w:space="0" w:color="auto"/>
        <w:right w:val="none" w:sz="0" w:space="0" w:color="auto"/>
      </w:divBdr>
    </w:div>
    <w:div w:id="163729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ackuptrust.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backuptrust.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4605-2615-40DC-846B-114DF152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620</Words>
  <Characters>3085</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Pedder</dc:creator>
  <cp:keywords/>
  <dc:description/>
  <cp:lastModifiedBy>Salvatore LaMonica</cp:lastModifiedBy>
  <cp:revision>24</cp:revision>
  <dcterms:created xsi:type="dcterms:W3CDTF">2025-09-10T15:13:00Z</dcterms:created>
  <dcterms:modified xsi:type="dcterms:W3CDTF">2026-06-11T07:21:00Z</dcterms:modified>
</cp:coreProperties>
</file>