
<file path=[Content_Types].xml><?xml version="1.0" encoding="utf-8"?>
<Types xmlns="http://schemas.openxmlformats.org/package/2006/content-types">
  <Default Extension="png" ContentType="image/png"/>
  <Default Extension="jpeg" ContentType="image/jpeg"/>
  <Default Extension="jpg" ContentType="image/jpeg"/>
  <Default Extension="bmp" ContentType="image/bmp"/>
  <Default Extension="gif" ContentType="image/gif"/>
  <Default Extension="svg" ContentType="image/svg+xml"/>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endnotes.xml" ContentType="application/vnd.openxmlformats-officedocument.wordprocessingml.endnotes+xml"/>
  <Override PartName="/word/settings.xml" ContentType="application/vnd.openxmlformats-officedocument.wordprocessingml.settings+xml"/>
  <Override PartName="/word/comments.xml" ContentType="application/vnd.openxmlformats-officedocument.wordprocessingml.comments+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
      </w:pPr>
      <w:r>
        <w:rPr>
          <w:rFonts w:ascii="Calibri" w:cs="Calibri" w:eastAsia="Calibri" w:hAnsi="Calibri"/>
          <w:b/>
          <w:bCs/>
          <w:color w:val="14625B"/>
          <w:sz w:val="30"/>
          <w:szCs w:val="30"/>
        </w:rPr>
        <w:t xml:space="preserve">The Pinnacle Centre</w:t>
      </w:r>
    </w:p>
    <w:p>
      <w:pPr>
        <w:pBdr>
          <w:bottom w:val="single" w:color="14625B" w:sz="8" w:space="1"/>
        </w:pBdr>
        <w:spacing w:after="200" w:before="120"/>
      </w:pPr>
      <w:r>
        <w:rPr>
          <w:sz w:val="2"/>
          <w:szCs w:val="2"/>
        </w:rPr>
        <w:t xml:space="preserve"/>
      </w:r>
    </w:p>
    <w:tbl>
      <w:tblPr>
        <w:tblW w:type="dxa" w:w="9000"/>
        <w:tblBorders>
          <w:top w:val="none" w:color="FFFFFF" w:sz="0"/>
          <w:left w:val="none" w:color="FFFFFF" w:sz="0"/>
          <w:bottom w:val="none" w:color="FFFFFF" w:sz="0"/>
          <w:right w:val="none" w:color="FFFFFF" w:sz="0"/>
          <w:insideH w:val="none" w:color="FFFFFF" w:sz="0"/>
          <w:insideV w:val="none" w:color="FFFFFF" w:sz="0"/>
        </w:tblBorders>
      </w:tblPr>
      <w:tblGrid>
        <w:gridCol w:w="2600"/>
        <w:gridCol w:w="6400"/>
      </w:tblGrid>
      <w:tr>
        <w:tc>
          <w:tcPr>
            <w:tcW w:type="dxa" w:w="2600"/>
            <w:tcBorders>
              <w:top w:val="none" w:color="FFFFFF" w:sz="0"/>
              <w:left w:val="none" w:color="FFFFFF" w:sz="0"/>
              <w:bottom w:val="none" w:color="FFFFFF" w:sz="0"/>
              <w:right w:val="none" w:color="FFFFFF" w:sz="0"/>
            </w:tcBorders>
            <w:tcMar>
              <w:top w:type="dxa" w:w="40"/>
              <w:left w:type="dxa" w:w="0"/>
              <w:bottom w:type="dxa" w:w="40"/>
              <w:right w:type="dxa" w:w="60"/>
            </w:tcMar>
          </w:tcPr>
          <w:p>
            <w:r>
              <w:rPr>
                <w:rFonts w:ascii="Calibri" w:cs="Calibri" w:eastAsia="Calibri" w:hAnsi="Calibri"/>
                <w:b/>
                <w:bCs/>
                <w:color w:val="14625B"/>
                <w:sz w:val="21"/>
                <w:szCs w:val="21"/>
              </w:rPr>
              <w:t xml:space="preserve">Role Title:</w:t>
            </w:r>
          </w:p>
        </w:tc>
        <w:tc>
          <w:tcPr>
            <w:tcW w:type="dxa" w:w="6400"/>
            <w:tcBorders>
              <w:top w:val="none" w:color="FFFFFF" w:sz="0"/>
              <w:left w:val="none" w:color="FFFFFF" w:sz="0"/>
              <w:bottom w:val="none" w:color="FFFFFF" w:sz="0"/>
              <w:right w:val="none" w:color="FFFFFF" w:sz="0"/>
            </w:tcBorders>
            <w:tcMar>
              <w:top w:type="dxa" w:w="40"/>
              <w:left w:type="dxa" w:w="0"/>
              <w:bottom w:type="dxa" w:w="40"/>
              <w:right w:type="dxa" w:w="60"/>
            </w:tcMar>
          </w:tcPr>
          <w:p>
            <w:r>
              <w:rPr>
                <w:rFonts w:ascii="Calibri" w:cs="Calibri" w:eastAsia="Calibri" w:hAnsi="Calibri"/>
                <w:b/>
                <w:bCs/>
                <w:color w:val="14625B"/>
                <w:sz w:val="21"/>
                <w:szCs w:val="21"/>
              </w:rPr>
              <w:t xml:space="preserve">Programmes Lead</w:t>
            </w:r>
          </w:p>
        </w:tc>
      </w:tr>
      <w:tr>
        <w:tc>
          <w:tcPr>
            <w:tcW w:type="dxa" w:w="2600"/>
            <w:tcBorders>
              <w:top w:val="none" w:color="FFFFFF" w:sz="0"/>
              <w:left w:val="none" w:color="FFFFFF" w:sz="0"/>
              <w:bottom w:val="none" w:color="FFFFFF" w:sz="0"/>
              <w:right w:val="none" w:color="FFFFFF" w:sz="0"/>
            </w:tcBorders>
            <w:tcMar>
              <w:top w:type="dxa" w:w="40"/>
              <w:left w:type="dxa" w:w="0"/>
              <w:bottom w:type="dxa" w:w="40"/>
              <w:right w:type="dxa" w:w="60"/>
            </w:tcMar>
          </w:tcPr>
          <w:p>
            <w:r>
              <w:rPr>
                <w:rFonts w:ascii="Calibri" w:cs="Calibri" w:eastAsia="Calibri" w:hAnsi="Calibri"/>
                <w:b/>
                <w:bCs/>
                <w:color w:val="14625B"/>
                <w:sz w:val="21"/>
                <w:szCs w:val="21"/>
              </w:rPr>
              <w:t xml:space="preserve">Department:</w:t>
            </w:r>
          </w:p>
        </w:tc>
        <w:tc>
          <w:tcPr>
            <w:tcW w:type="dxa" w:w="6400"/>
            <w:tcBorders>
              <w:top w:val="none" w:color="FFFFFF" w:sz="0"/>
              <w:left w:val="none" w:color="FFFFFF" w:sz="0"/>
              <w:bottom w:val="none" w:color="FFFFFF" w:sz="0"/>
              <w:right w:val="none" w:color="FFFFFF" w:sz="0"/>
            </w:tcBorders>
            <w:tcMar>
              <w:top w:type="dxa" w:w="40"/>
              <w:left w:type="dxa" w:w="0"/>
              <w:bottom w:type="dxa" w:w="40"/>
              <w:right w:type="dxa" w:w="60"/>
            </w:tcMar>
          </w:tcPr>
          <w:p>
            <w:r>
              <w:rPr>
                <w:rFonts w:ascii="Calibri" w:cs="Calibri" w:eastAsia="Calibri" w:hAnsi="Calibri"/>
                <w:b/>
                <w:bCs/>
                <w:color w:val="14625B"/>
                <w:sz w:val="21"/>
                <w:szCs w:val="21"/>
              </w:rPr>
              <w:t xml:space="preserve">Programmes</w:t>
            </w:r>
          </w:p>
        </w:tc>
      </w:tr>
      <w:tr>
        <w:tc>
          <w:tcPr>
            <w:tcW w:type="dxa" w:w="2600"/>
            <w:tcBorders>
              <w:top w:val="none" w:color="FFFFFF" w:sz="0"/>
              <w:left w:val="none" w:color="FFFFFF" w:sz="0"/>
              <w:bottom w:val="none" w:color="FFFFFF" w:sz="0"/>
              <w:right w:val="none" w:color="FFFFFF" w:sz="0"/>
            </w:tcBorders>
            <w:tcMar>
              <w:top w:type="dxa" w:w="40"/>
              <w:left w:type="dxa" w:w="0"/>
              <w:bottom w:type="dxa" w:w="40"/>
              <w:right w:type="dxa" w:w="60"/>
            </w:tcMar>
          </w:tcPr>
          <w:p>
            <w:r>
              <w:rPr>
                <w:rFonts w:ascii="Calibri" w:cs="Calibri" w:eastAsia="Calibri" w:hAnsi="Calibri"/>
                <w:b/>
                <w:bCs/>
                <w:color w:val="14625B"/>
                <w:sz w:val="21"/>
                <w:szCs w:val="21"/>
              </w:rPr>
              <w:t xml:space="preserve">Location:</w:t>
            </w:r>
          </w:p>
        </w:tc>
        <w:tc>
          <w:tcPr>
            <w:tcW w:type="dxa" w:w="6400"/>
            <w:tcBorders>
              <w:top w:val="none" w:color="FFFFFF" w:sz="0"/>
              <w:left w:val="none" w:color="FFFFFF" w:sz="0"/>
              <w:bottom w:val="none" w:color="FFFFFF" w:sz="0"/>
              <w:right w:val="none" w:color="FFFFFF" w:sz="0"/>
            </w:tcBorders>
            <w:tcMar>
              <w:top w:type="dxa" w:w="40"/>
              <w:left w:type="dxa" w:w="0"/>
              <w:bottom w:type="dxa" w:w="40"/>
              <w:right w:type="dxa" w:w="60"/>
            </w:tcMar>
          </w:tcPr>
          <w:p>
            <w:r>
              <w:rPr>
                <w:rFonts w:ascii="Calibri" w:cs="Calibri" w:eastAsia="Calibri" w:hAnsi="Calibri"/>
                <w:b/>
                <w:bCs/>
                <w:color w:val="14625B"/>
                <w:sz w:val="21"/>
                <w:szCs w:val="21"/>
              </w:rPr>
              <w:t xml:space="preserve">Birmingham — hybrid</w:t>
            </w:r>
          </w:p>
        </w:tc>
      </w:tr>
      <w:tr>
        <w:tc>
          <w:tcPr>
            <w:tcW w:type="dxa" w:w="2600"/>
            <w:tcBorders>
              <w:top w:val="none" w:color="FFFFFF" w:sz="0"/>
              <w:left w:val="none" w:color="FFFFFF" w:sz="0"/>
              <w:bottom w:val="none" w:color="FFFFFF" w:sz="0"/>
              <w:right w:val="none" w:color="FFFFFF" w:sz="0"/>
            </w:tcBorders>
            <w:tcMar>
              <w:top w:type="dxa" w:w="40"/>
              <w:left w:type="dxa" w:w="0"/>
              <w:bottom w:type="dxa" w:w="40"/>
              <w:right w:type="dxa" w:w="60"/>
            </w:tcMar>
          </w:tcPr>
          <w:p>
            <w:r>
              <w:rPr>
                <w:rFonts w:ascii="Calibri" w:cs="Calibri" w:eastAsia="Calibri" w:hAnsi="Calibri"/>
                <w:b/>
                <w:bCs/>
                <w:color w:val="14625B"/>
                <w:sz w:val="21"/>
                <w:szCs w:val="21"/>
              </w:rPr>
              <w:t xml:space="preserve">Reporting to:</w:t>
            </w:r>
          </w:p>
        </w:tc>
        <w:tc>
          <w:tcPr>
            <w:tcW w:type="dxa" w:w="6400"/>
            <w:tcBorders>
              <w:top w:val="none" w:color="FFFFFF" w:sz="0"/>
              <w:left w:val="none" w:color="FFFFFF" w:sz="0"/>
              <w:bottom w:val="none" w:color="FFFFFF" w:sz="0"/>
              <w:right w:val="none" w:color="FFFFFF" w:sz="0"/>
            </w:tcBorders>
            <w:tcMar>
              <w:top w:type="dxa" w:w="40"/>
              <w:left w:type="dxa" w:w="0"/>
              <w:bottom w:type="dxa" w:w="40"/>
              <w:right w:type="dxa" w:w="60"/>
            </w:tcMar>
          </w:tcPr>
          <w:p>
            <w:r>
              <w:rPr>
                <w:rFonts w:ascii="Calibri" w:cs="Calibri" w:eastAsia="Calibri" w:hAnsi="Calibri"/>
                <w:b/>
                <w:bCs/>
                <w:color w:val="14625B"/>
                <w:sz w:val="21"/>
                <w:szCs w:val="21"/>
              </w:rPr>
              <w:t xml:space="preserve">Chief Operating Officer</w:t>
            </w:r>
          </w:p>
        </w:tc>
      </w:tr>
      <w:tr>
        <w:tc>
          <w:tcPr>
            <w:tcW w:type="dxa" w:w="2600"/>
            <w:tcBorders>
              <w:top w:val="none" w:color="FFFFFF" w:sz="0"/>
              <w:left w:val="none" w:color="FFFFFF" w:sz="0"/>
              <w:bottom w:val="none" w:color="FFFFFF" w:sz="0"/>
              <w:right w:val="none" w:color="FFFFFF" w:sz="0"/>
            </w:tcBorders>
            <w:tcMar>
              <w:top w:type="dxa" w:w="40"/>
              <w:left w:type="dxa" w:w="0"/>
              <w:bottom w:type="dxa" w:w="40"/>
              <w:right w:type="dxa" w:w="60"/>
            </w:tcMar>
          </w:tcPr>
          <w:p>
            <w:r>
              <w:rPr>
                <w:rFonts w:ascii="Calibri" w:cs="Calibri" w:eastAsia="Calibri" w:hAnsi="Calibri"/>
                <w:b/>
                <w:bCs/>
                <w:color w:val="14625B"/>
                <w:sz w:val="21"/>
                <w:szCs w:val="21"/>
              </w:rPr>
              <w:t xml:space="preserve">Commitment:</w:t>
            </w:r>
          </w:p>
        </w:tc>
        <w:tc>
          <w:tcPr>
            <w:tcW w:type="dxa" w:w="6400"/>
            <w:tcBorders>
              <w:top w:val="none" w:color="FFFFFF" w:sz="0"/>
              <w:left w:val="none" w:color="FFFFFF" w:sz="0"/>
              <w:bottom w:val="none" w:color="FFFFFF" w:sz="0"/>
              <w:right w:val="none" w:color="FFFFFF" w:sz="0"/>
            </w:tcBorders>
            <w:tcMar>
              <w:top w:type="dxa" w:w="40"/>
              <w:left w:type="dxa" w:w="0"/>
              <w:bottom w:type="dxa" w:w="40"/>
              <w:right w:type="dxa" w:w="60"/>
            </w:tcMar>
          </w:tcPr>
          <w:p>
            <w:r>
              <w:rPr>
                <w:rFonts w:ascii="Calibri" w:cs="Calibri" w:eastAsia="Calibri" w:hAnsi="Calibri"/>
                <w:b/>
                <w:bCs/>
                <w:color w:val="14625B"/>
                <w:sz w:val="21"/>
                <w:szCs w:val="21"/>
              </w:rPr>
              <w:t xml:space="preserve">6–8 hours per week, on average</w:t>
            </w:r>
          </w:p>
        </w:tc>
      </w:tr>
    </w:tbl>
    <w:p>
      <w:pPr>
        <w:pBdr>
          <w:bottom w:val="single" w:color="14625B" w:sz="8" w:space="1"/>
        </w:pBdr>
        <w:spacing w:after="200" w:before="120"/>
      </w:pPr>
      <w:r>
        <w:rPr>
          <w:sz w:val="2"/>
          <w:szCs w:val="2"/>
        </w:rPr>
        <w:t xml:space="preserve"/>
      </w:r>
    </w:p>
    <w:p>
      <w:pPr>
        <w:spacing w:after="100" w:before="280"/>
      </w:pPr>
      <w:r>
        <w:rPr>
          <w:rFonts w:ascii="Calibri" w:cs="Calibri" w:eastAsia="Calibri" w:hAnsi="Calibri"/>
          <w:b/>
          <w:bCs/>
          <w:color w:val="14625B"/>
          <w:sz w:val="26"/>
          <w:szCs w:val="26"/>
        </w:rPr>
        <w:t xml:space="preserve">About The Pinnacle Centre</w:t>
      </w:r>
    </w:p>
    <w:p>
      <w:pPr>
        <w:spacing w:after="140" w:line="276"/>
      </w:pPr>
      <w:r>
        <w:rPr>
          <w:rFonts w:ascii="Calibri" w:cs="Calibri" w:eastAsia="Calibri" w:hAnsi="Calibri"/>
          <w:i w:val="false"/>
          <w:iCs w:val="false"/>
          <w:color w:val="262626"/>
          <w:sz w:val="21"/>
          <w:szCs w:val="21"/>
        </w:rPr>
        <w:t xml:space="preserve">The Pinnacle Centre is a third space in Birmingham helping young adults grow holistically. We work across three domains: personal development, sports and wellbeing, and community and belonging.</w:t>
      </w:r>
    </w:p>
    <w:p>
      <w:pPr>
        <w:spacing w:after="140" w:line="276"/>
      </w:pPr>
      <w:r>
        <w:rPr>
          <w:rFonts w:ascii="Calibri" w:cs="Calibri" w:eastAsia="Calibri" w:hAnsi="Calibri"/>
          <w:i w:val="false"/>
          <w:iCs w:val="false"/>
          <w:color w:val="262626"/>
          <w:sz w:val="21"/>
          <w:szCs w:val="21"/>
        </w:rPr>
        <w:t xml:space="preserve">Vision 2030 is where that work is heading. We're building a multi-purpose centre in Birmingham — sports facilities, co-working space, an auditorium and a café — designed as a home for young adults to train, work, learn and gather.</w:t>
      </w:r>
    </w:p>
    <w:p>
      <w:pPr>
        <w:spacing w:after="100" w:before="280"/>
      </w:pPr>
      <w:r>
        <w:rPr>
          <w:rFonts w:ascii="Calibri" w:cs="Calibri" w:eastAsia="Calibri" w:hAnsi="Calibri"/>
          <w:b/>
          <w:bCs/>
          <w:color w:val="14625B"/>
          <w:sz w:val="26"/>
          <w:szCs w:val="26"/>
        </w:rPr>
        <w:t xml:space="preserve">Role Summary</w:t>
      </w:r>
    </w:p>
    <w:p>
      <w:pPr>
        <w:spacing w:after="140" w:line="276"/>
      </w:pPr>
      <w:r>
        <w:rPr>
          <w:rFonts w:ascii="Calibri" w:cs="Calibri" w:eastAsia="Calibri" w:hAnsi="Calibri"/>
          <w:i w:val="false"/>
          <w:iCs w:val="false"/>
          <w:color w:val="262626"/>
          <w:sz w:val="21"/>
          <w:szCs w:val="21"/>
        </w:rPr>
        <w:t xml:space="preserve">You own what Pinnacle actually delivers to young adults — the design, quality and outcomes of our programmes across all three domains, and the week-to-week running of them. Events run the moments; you run the journeys people go on in between.</w:t>
      </w:r>
    </w:p>
    <w:p>
      <w:pPr>
        <w:spacing w:after="100" w:before="280"/>
      </w:pPr>
      <w:r>
        <w:rPr>
          <w:rFonts w:ascii="Calibri" w:cs="Calibri" w:eastAsia="Calibri" w:hAnsi="Calibri"/>
          <w:b/>
          <w:bCs/>
          <w:color w:val="14625B"/>
          <w:sz w:val="26"/>
          <w:szCs w:val="26"/>
        </w:rPr>
        <w:t xml:space="preserve">Key tasks</w:t>
      </w:r>
    </w:p>
    <w:p>
      <w:pPr>
        <w:spacing w:after="60" w:before="160"/>
        <w:ind w:left="288"/>
      </w:pPr>
      <w:r>
        <w:rPr>
          <w:rFonts w:ascii="Calibri" w:cs="Calibri" w:eastAsia="Calibri" w:hAnsi="Calibri"/>
          <w:b/>
          <w:bCs/>
          <w:color w:val="262626"/>
          <w:sz w:val="21"/>
          <w:szCs w:val="21"/>
        </w:rPr>
        <w:t xml:space="preserve">1.  Programme design</w:t>
      </w:r>
    </w:p>
    <w:p>
      <w:pPr>
        <w:pStyle w:val="ListParagraph"/>
        <w:numPr>
          <w:ilvl w:val="1"/>
          <w:numId w:val="2"/>
        </w:numPr>
        <w:spacing w:after="60" w:line="264"/>
      </w:pPr>
      <w:r>
        <w:rPr>
          <w:rFonts w:ascii="Calibri" w:cs="Calibri" w:eastAsia="Calibri" w:hAnsi="Calibri"/>
          <w:color w:val="262626"/>
          <w:sz w:val="21"/>
          <w:szCs w:val="21"/>
        </w:rPr>
        <w:t xml:space="preserve">Design a coherent portfolio across personal development, sports and wellbeing, and community and belonging.</w:t>
      </w:r>
    </w:p>
    <w:p>
      <w:pPr>
        <w:pStyle w:val="ListParagraph"/>
        <w:numPr>
          <w:ilvl w:val="1"/>
          <w:numId w:val="2"/>
        </w:numPr>
        <w:spacing w:after="60" w:line="264"/>
      </w:pPr>
      <w:r>
        <w:rPr>
          <w:rFonts w:ascii="Calibri" w:cs="Calibri" w:eastAsia="Calibri" w:hAnsi="Calibri"/>
          <w:color w:val="262626"/>
          <w:sz w:val="21"/>
          <w:szCs w:val="21"/>
        </w:rPr>
        <w:t xml:space="preserve">Define the intended outcome of every programme before it is built.</w:t>
      </w:r>
    </w:p>
    <w:p>
      <w:pPr>
        <w:pStyle w:val="ListParagraph"/>
        <w:numPr>
          <w:ilvl w:val="1"/>
          <w:numId w:val="2"/>
        </w:numPr>
        <w:spacing w:after="60" w:line="264"/>
      </w:pPr>
      <w:r>
        <w:rPr>
          <w:rFonts w:ascii="Calibri" w:cs="Calibri" w:eastAsia="Calibri" w:hAnsi="Calibri"/>
          <w:color w:val="262626"/>
          <w:sz w:val="21"/>
          <w:szCs w:val="21"/>
        </w:rPr>
        <w:t xml:space="preserve">Retire programmes that no longer earn their place in the calendar.</w:t>
      </w:r>
    </w:p>
    <w:p>
      <w:pPr>
        <w:spacing w:after="60" w:before="160"/>
        <w:ind w:left="288"/>
      </w:pPr>
      <w:r>
        <w:rPr>
          <w:rFonts w:ascii="Calibri" w:cs="Calibri" w:eastAsia="Calibri" w:hAnsi="Calibri"/>
          <w:b/>
          <w:bCs/>
          <w:color w:val="262626"/>
          <w:sz w:val="21"/>
          <w:szCs w:val="21"/>
        </w:rPr>
        <w:t xml:space="preserve">2.  Delivery &amp; coordination</w:t>
      </w:r>
    </w:p>
    <w:p>
      <w:pPr>
        <w:pStyle w:val="ListParagraph"/>
        <w:numPr>
          <w:ilvl w:val="1"/>
          <w:numId w:val="2"/>
        </w:numPr>
        <w:spacing w:after="60" w:line="264"/>
      </w:pPr>
      <w:r>
        <w:rPr>
          <w:rFonts w:ascii="Calibri" w:cs="Calibri" w:eastAsia="Calibri" w:hAnsi="Calibri"/>
          <w:color w:val="262626"/>
          <w:sz w:val="21"/>
          <w:szCs w:val="21"/>
        </w:rPr>
        <w:t xml:space="preserve">Schedule sessions, facilitators and spaces across the programme calendar.</w:t>
      </w:r>
    </w:p>
    <w:p>
      <w:pPr>
        <w:pStyle w:val="ListParagraph"/>
        <w:numPr>
          <w:ilvl w:val="1"/>
          <w:numId w:val="2"/>
        </w:numPr>
        <w:spacing w:after="60" w:line="264"/>
      </w:pPr>
      <w:r>
        <w:rPr>
          <w:rFonts w:ascii="Calibri" w:cs="Calibri" w:eastAsia="Calibri" w:hAnsi="Calibri"/>
          <w:color w:val="262626"/>
          <w:sz w:val="21"/>
          <w:szCs w:val="21"/>
        </w:rPr>
        <w:t xml:space="preserve">Prepare materials and resources, and host or support delivery.</w:t>
      </w:r>
    </w:p>
    <w:p>
      <w:pPr>
        <w:pStyle w:val="ListParagraph"/>
        <w:numPr>
          <w:ilvl w:val="1"/>
          <w:numId w:val="2"/>
        </w:numPr>
        <w:spacing w:after="60" w:line="264"/>
      </w:pPr>
      <w:r>
        <w:rPr>
          <w:rFonts w:ascii="Calibri" w:cs="Calibri" w:eastAsia="Calibri" w:hAnsi="Calibri"/>
          <w:color w:val="262626"/>
          <w:sz w:val="21"/>
          <w:szCs w:val="21"/>
        </w:rPr>
        <w:t xml:space="preserve">Adapt on the day when numbers, rooms or facilitators change.</w:t>
      </w:r>
    </w:p>
    <w:p>
      <w:pPr>
        <w:spacing w:after="60" w:before="160"/>
        <w:ind w:left="288"/>
      </w:pPr>
      <w:r>
        <w:rPr>
          <w:rFonts w:ascii="Calibri" w:cs="Calibri" w:eastAsia="Calibri" w:hAnsi="Calibri"/>
          <w:b/>
          <w:bCs/>
          <w:color w:val="262626"/>
          <w:sz w:val="21"/>
          <w:szCs w:val="21"/>
        </w:rPr>
        <w:t xml:space="preserve">3.  Quality &amp; facilitation</w:t>
      </w:r>
    </w:p>
    <w:p>
      <w:pPr>
        <w:pStyle w:val="ListParagraph"/>
        <w:numPr>
          <w:ilvl w:val="1"/>
          <w:numId w:val="2"/>
        </w:numPr>
        <w:spacing w:after="60" w:line="264"/>
      </w:pPr>
      <w:r>
        <w:rPr>
          <w:rFonts w:ascii="Calibri" w:cs="Calibri" w:eastAsia="Calibri" w:hAnsi="Calibri"/>
          <w:color w:val="262626"/>
          <w:sz w:val="21"/>
          <w:szCs w:val="21"/>
        </w:rPr>
        <w:t xml:space="preserve">Set the standard for facilitation, content and participant experience.</w:t>
      </w:r>
    </w:p>
    <w:p>
      <w:pPr>
        <w:pStyle w:val="ListParagraph"/>
        <w:numPr>
          <w:ilvl w:val="1"/>
          <w:numId w:val="2"/>
        </w:numPr>
        <w:spacing w:after="60" w:line="264"/>
      </w:pPr>
      <w:r>
        <w:rPr>
          <w:rFonts w:ascii="Calibri" w:cs="Calibri" w:eastAsia="Calibri" w:hAnsi="Calibri"/>
          <w:color w:val="262626"/>
          <w:sz w:val="21"/>
          <w:szCs w:val="21"/>
        </w:rPr>
        <w:t xml:space="preserve">Recruit, brief and develop facilitators, coaches and speakers.</w:t>
      </w:r>
    </w:p>
    <w:p>
      <w:pPr>
        <w:pStyle w:val="ListParagraph"/>
        <w:numPr>
          <w:ilvl w:val="1"/>
          <w:numId w:val="2"/>
        </w:numPr>
        <w:spacing w:after="60" w:line="264"/>
      </w:pPr>
      <w:r>
        <w:rPr>
          <w:rFonts w:ascii="Calibri" w:cs="Calibri" w:eastAsia="Calibri" w:hAnsi="Calibri"/>
          <w:color w:val="262626"/>
          <w:sz w:val="21"/>
          <w:szCs w:val="21"/>
        </w:rPr>
        <w:t xml:space="preserve">Observe delivery regularly and give feedback that improves it.</w:t>
      </w:r>
    </w:p>
    <w:p>
      <w:pPr>
        <w:spacing w:after="60" w:before="160"/>
        <w:ind w:left="288"/>
      </w:pPr>
      <w:r>
        <w:rPr>
          <w:rFonts w:ascii="Calibri" w:cs="Calibri" w:eastAsia="Calibri" w:hAnsi="Calibri"/>
          <w:b/>
          <w:bCs/>
          <w:color w:val="262626"/>
          <w:sz w:val="21"/>
          <w:szCs w:val="21"/>
        </w:rPr>
        <w:t xml:space="preserve">4.  Participant journey</w:t>
      </w:r>
    </w:p>
    <w:p>
      <w:pPr>
        <w:pStyle w:val="ListParagraph"/>
        <w:numPr>
          <w:ilvl w:val="1"/>
          <w:numId w:val="2"/>
        </w:numPr>
        <w:spacing w:after="60" w:line="264"/>
      </w:pPr>
      <w:r>
        <w:rPr>
          <w:rFonts w:ascii="Calibri" w:cs="Calibri" w:eastAsia="Calibri" w:hAnsi="Calibri"/>
          <w:color w:val="262626"/>
          <w:sz w:val="21"/>
          <w:szCs w:val="21"/>
        </w:rPr>
        <w:t xml:space="preserve">Welcome newcomers and make sure nobody is left standing on their own.</w:t>
      </w:r>
    </w:p>
    <w:p>
      <w:pPr>
        <w:pStyle w:val="ListParagraph"/>
        <w:numPr>
          <w:ilvl w:val="1"/>
          <w:numId w:val="2"/>
        </w:numPr>
        <w:spacing w:after="60" w:line="264"/>
      </w:pPr>
      <w:r>
        <w:rPr>
          <w:rFonts w:ascii="Calibri" w:cs="Calibri" w:eastAsia="Calibri" w:hAnsi="Calibri"/>
          <w:color w:val="262626"/>
          <w:sz w:val="21"/>
          <w:szCs w:val="21"/>
        </w:rPr>
        <w:t xml:space="preserve">Design pathways so a first-time attendee has an obvious next step.</w:t>
      </w:r>
    </w:p>
    <w:p>
      <w:pPr>
        <w:pStyle w:val="ListParagraph"/>
        <w:numPr>
          <w:ilvl w:val="1"/>
          <w:numId w:val="2"/>
        </w:numPr>
        <w:spacing w:after="60" w:line="264"/>
      </w:pPr>
      <w:r>
        <w:rPr>
          <w:rFonts w:ascii="Calibri" w:cs="Calibri" w:eastAsia="Calibri" w:hAnsi="Calibri"/>
          <w:color w:val="262626"/>
          <w:sz w:val="21"/>
          <w:szCs w:val="21"/>
        </w:rPr>
        <w:t xml:space="preserve">Follow up with people who have dropped off, and own retention.</w:t>
      </w:r>
    </w:p>
    <w:p>
      <w:pPr>
        <w:spacing w:after="60" w:before="160"/>
        <w:ind w:left="288"/>
      </w:pPr>
      <w:r>
        <w:rPr>
          <w:rFonts w:ascii="Calibri" w:cs="Calibri" w:eastAsia="Calibri" w:hAnsi="Calibri"/>
          <w:b/>
          <w:bCs/>
          <w:color w:val="262626"/>
          <w:sz w:val="21"/>
          <w:szCs w:val="21"/>
        </w:rPr>
        <w:t xml:space="preserve">5.  Impact &amp; evidence</w:t>
      </w:r>
    </w:p>
    <w:p>
      <w:pPr>
        <w:pStyle w:val="ListParagraph"/>
        <w:numPr>
          <w:ilvl w:val="1"/>
          <w:numId w:val="2"/>
        </w:numPr>
        <w:spacing w:after="60" w:line="264"/>
      </w:pPr>
      <w:r>
        <w:rPr>
          <w:rFonts w:ascii="Calibri" w:cs="Calibri" w:eastAsia="Calibri" w:hAnsi="Calibri"/>
          <w:color w:val="262626"/>
          <w:sz w:val="21"/>
          <w:szCs w:val="21"/>
        </w:rPr>
        <w:t xml:space="preserve">Define success in measurable terms and collect outcome data consistently.</w:t>
      </w:r>
    </w:p>
    <w:p>
      <w:pPr>
        <w:pStyle w:val="ListParagraph"/>
        <w:numPr>
          <w:ilvl w:val="1"/>
          <w:numId w:val="2"/>
        </w:numPr>
        <w:spacing w:after="60" w:line="264"/>
      </w:pPr>
      <w:r>
        <w:rPr>
          <w:rFonts w:ascii="Calibri" w:cs="Calibri" w:eastAsia="Calibri" w:hAnsi="Calibri"/>
          <w:color w:val="262626"/>
          <w:sz w:val="21"/>
          <w:szCs w:val="21"/>
        </w:rPr>
        <w:t xml:space="preserve">Maintain accurate attendance records and gather stories and case studies.</w:t>
      </w:r>
    </w:p>
    <w:p>
      <w:pPr>
        <w:pStyle w:val="ListParagraph"/>
        <w:numPr>
          <w:ilvl w:val="1"/>
          <w:numId w:val="2"/>
        </w:numPr>
        <w:spacing w:after="60" w:line="264"/>
      </w:pPr>
      <w:r>
        <w:rPr>
          <w:rFonts w:ascii="Calibri" w:cs="Calibri" w:eastAsia="Calibri" w:hAnsi="Calibri"/>
          <w:color w:val="262626"/>
          <w:sz w:val="21"/>
          <w:szCs w:val="21"/>
        </w:rPr>
        <w:t xml:space="preserve">Produce the impact evidence Fundraising needs for applications and funder reporting.</w:t>
      </w:r>
    </w:p>
    <w:p>
      <w:pPr>
        <w:spacing w:after="100" w:before="280"/>
      </w:pPr>
      <w:r>
        <w:rPr>
          <w:rFonts w:ascii="Calibri" w:cs="Calibri" w:eastAsia="Calibri" w:hAnsi="Calibri"/>
          <w:b/>
          <w:bCs/>
          <w:color w:val="14625B"/>
          <w:sz w:val="26"/>
          <w:szCs w:val="26"/>
        </w:rPr>
        <w:t xml:space="preserve">What we're looking for</w:t>
      </w:r>
    </w:p>
    <w:p>
      <w:pPr>
        <w:pStyle w:val="ListParagraph"/>
        <w:numPr>
          <w:ilvl w:val="0"/>
          <w:numId w:val="2"/>
        </w:numPr>
        <w:spacing w:after="60" w:line="264"/>
      </w:pPr>
      <w:r>
        <w:rPr>
          <w:rFonts w:ascii="Calibri" w:cs="Calibri" w:eastAsia="Calibri" w:hAnsi="Calibri"/>
          <w:color w:val="262626"/>
          <w:sz w:val="21"/>
          <w:szCs w:val="21"/>
        </w:rPr>
        <w:t xml:space="preserve">Programme design or delivery experience in youth work, education, learning and development or similar.</w:t>
      </w:r>
    </w:p>
    <w:p>
      <w:pPr>
        <w:pStyle w:val="ListParagraph"/>
        <w:numPr>
          <w:ilvl w:val="0"/>
          <w:numId w:val="2"/>
        </w:numPr>
        <w:spacing w:after="60" w:line="264"/>
      </w:pPr>
      <w:r>
        <w:rPr>
          <w:rFonts w:ascii="Calibri" w:cs="Calibri" w:eastAsia="Calibri" w:hAnsi="Calibri"/>
          <w:color w:val="262626"/>
          <w:sz w:val="21"/>
          <w:szCs w:val="21"/>
        </w:rPr>
        <w:t xml:space="preserve">Outcome-focused — you start from the change you want to see.</w:t>
      </w:r>
    </w:p>
    <w:p>
      <w:pPr>
        <w:pStyle w:val="ListParagraph"/>
        <w:numPr>
          <w:ilvl w:val="0"/>
          <w:numId w:val="2"/>
        </w:numPr>
        <w:spacing w:after="60" w:line="264"/>
      </w:pPr>
      <w:r>
        <w:rPr>
          <w:rFonts w:ascii="Calibri" w:cs="Calibri" w:eastAsia="Calibri" w:hAnsi="Calibri"/>
          <w:color w:val="262626"/>
          <w:sz w:val="21"/>
          <w:szCs w:val="21"/>
        </w:rPr>
        <w:t xml:space="preserve">Warm and approachable; people should want to talk to you.</w:t>
      </w:r>
    </w:p>
    <w:p>
      <w:pPr>
        <w:pStyle w:val="ListParagraph"/>
        <w:numPr>
          <w:ilvl w:val="0"/>
          <w:numId w:val="2"/>
        </w:numPr>
        <w:spacing w:after="60" w:line="264"/>
      </w:pPr>
      <w:r>
        <w:rPr>
          <w:rFonts w:ascii="Calibri" w:cs="Calibri" w:eastAsia="Calibri" w:hAnsi="Calibri"/>
          <w:color w:val="262626"/>
          <w:sz w:val="21"/>
          <w:szCs w:val="21"/>
        </w:rPr>
        <w:t xml:space="preserve">Comfortable with evaluation data and honest about what is not working.</w:t>
      </w:r>
    </w:p>
    <w:p>
      <w:pPr>
        <w:pStyle w:val="ListParagraph"/>
        <w:numPr>
          <w:ilvl w:val="0"/>
          <w:numId w:val="2"/>
        </w:numPr>
        <w:spacing w:after="60" w:line="264"/>
      </w:pPr>
      <w:r>
        <w:rPr>
          <w:rFonts w:ascii="Calibri" w:cs="Calibri" w:eastAsia="Calibri" w:hAnsi="Calibri"/>
          <w:color w:val="262626"/>
          <w:sz w:val="21"/>
          <w:szCs w:val="21"/>
        </w:rPr>
        <w:t xml:space="preserve">Reliable weekly availability.</w:t>
      </w:r>
    </w:p>
    <w:p>
      <w:pPr>
        <w:pStyle w:val="ListParagraph"/>
        <w:numPr>
          <w:ilvl w:val="0"/>
          <w:numId w:val="2"/>
        </w:numPr>
        <w:spacing w:after="60" w:line="264"/>
      </w:pPr>
      <w:r>
        <w:rPr>
          <w:rFonts w:ascii="Calibri" w:cs="Calibri" w:eastAsia="Calibri" w:hAnsi="Calibri"/>
          <w:color w:val="262626"/>
          <w:sz w:val="21"/>
          <w:szCs w:val="21"/>
        </w:rPr>
        <w:t xml:space="preserve">Safeguarding trained, or willing to be.</w:t>
      </w:r>
    </w:p>
    <w:p>
      <w:pPr>
        <w:spacing w:after="100" w:before="280"/>
      </w:pPr>
      <w:r>
        <w:rPr>
          <w:rFonts w:ascii="Calibri" w:cs="Calibri" w:eastAsia="Calibri" w:hAnsi="Calibri"/>
          <w:b/>
          <w:bCs/>
          <w:color w:val="14625B"/>
          <w:sz w:val="26"/>
          <w:szCs w:val="26"/>
        </w:rPr>
        <w:t xml:space="preserve">What we have to offer</w:t>
      </w:r>
    </w:p>
    <w:p>
      <w:pPr>
        <w:pStyle w:val="ListParagraph"/>
        <w:numPr>
          <w:ilvl w:val="0"/>
          <w:numId w:val="2"/>
        </w:numPr>
        <w:spacing w:after="60" w:line="264"/>
      </w:pPr>
      <w:r>
        <w:rPr>
          <w:rFonts w:ascii="Calibri" w:cs="Calibri" w:eastAsia="Calibri" w:hAnsi="Calibri"/>
          <w:color w:val="262626"/>
          <w:sz w:val="21"/>
          <w:szCs w:val="21"/>
        </w:rPr>
        <w:t xml:space="preserve">Real ownership of a function, not a task list — you will shape how it works, not just execute someone else's plan.</w:t>
      </w:r>
    </w:p>
    <w:p>
      <w:pPr>
        <w:pStyle w:val="ListParagraph"/>
        <w:numPr>
          <w:ilvl w:val="0"/>
          <w:numId w:val="2"/>
        </w:numPr>
        <w:spacing w:after="60" w:line="264"/>
      </w:pPr>
      <w:r>
        <w:rPr>
          <w:rFonts w:ascii="Calibri" w:cs="Calibri" w:eastAsia="Calibri" w:hAnsi="Calibri"/>
          <w:color w:val="262626"/>
          <w:sz w:val="21"/>
          <w:szCs w:val="21"/>
        </w:rPr>
        <w:t xml:space="preserve">A seat in a team building towards a 2030 horizon, with a clear line of sight to the leadership team.</w:t>
      </w:r>
    </w:p>
    <w:p>
      <w:pPr>
        <w:pStyle w:val="ListParagraph"/>
        <w:numPr>
          <w:ilvl w:val="0"/>
          <w:numId w:val="2"/>
        </w:numPr>
        <w:spacing w:after="60" w:line="264"/>
      </w:pPr>
      <w:r>
        <w:rPr>
          <w:rFonts w:ascii="Calibri" w:cs="Calibri" w:eastAsia="Calibri" w:hAnsi="Calibri"/>
          <w:color w:val="262626"/>
          <w:sz w:val="21"/>
          <w:szCs w:val="21"/>
        </w:rPr>
        <w:t xml:space="preserve">Access to our network of founders, professionals, entrepreneurs and investors through Pinnacle's events programme.</w:t>
      </w:r>
    </w:p>
    <w:p>
      <w:pPr>
        <w:pStyle w:val="ListParagraph"/>
        <w:numPr>
          <w:ilvl w:val="0"/>
          <w:numId w:val="2"/>
        </w:numPr>
        <w:spacing w:after="60" w:line="264"/>
      </w:pPr>
      <w:r>
        <w:rPr>
          <w:rFonts w:ascii="Calibri" w:cs="Calibri" w:eastAsia="Calibri" w:hAnsi="Calibri"/>
          <w:color w:val="262626"/>
          <w:sz w:val="21"/>
          <w:szCs w:val="21"/>
        </w:rPr>
        <w:t xml:space="preserve">Training, mentoring and the opportunity to build and lead a team of your own as the organisation grows.</w:t>
      </w:r>
    </w:p>
    <w:p>
      <w:pPr>
        <w:pStyle w:val="ListParagraph"/>
        <w:numPr>
          <w:ilvl w:val="0"/>
          <w:numId w:val="2"/>
        </w:numPr>
        <w:spacing w:after="60" w:line="264"/>
      </w:pPr>
      <w:r>
        <w:rPr>
          <w:rFonts w:ascii="Calibri" w:cs="Calibri" w:eastAsia="Calibri" w:hAnsi="Calibri"/>
          <w:color w:val="262626"/>
          <w:sz w:val="21"/>
          <w:szCs w:val="21"/>
        </w:rPr>
        <w:t xml:space="preserve">The reward of building something in your city that will outlast all of us.</w:t>
      </w:r>
    </w:p>
    <w:p>
      <w:pPr>
        <w:spacing w:before="260"/>
      </w:pPr>
    </w:p>
    <w:p>
      <w:pPr>
        <w:spacing w:after="100" w:line="264"/>
      </w:pPr>
      <w:r>
        <w:rPr>
          <w:rFonts w:ascii="Calibri" w:cs="Calibri" w:eastAsia="Calibri" w:hAnsi="Calibri"/>
          <w:i/>
          <w:iCs/>
          <w:color w:val="595959"/>
          <w:sz w:val="19"/>
          <w:szCs w:val="19"/>
        </w:rPr>
        <w:t xml:space="preserve">Please note: this is currently a volunteer position. Reasonable expenses for travel, equipment and refreshments are reimbursed in line with our Expenses Policy. As Pinnacle grows and funding allows, we expect several senior roles to move to paid positions, and volunteers already in post will be considered first.</w:t>
      </w:r>
    </w:p>
    <w:sectPr>
      <w:pgSz w:w="11906" w:h="16838" w:orient="portrait"/>
      <w:pgMar w:top="1100" w:right="1180" w:bottom="1100" w:left="11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04" w:hanging="288"/>
      </w:pPr>
      <w:rPr>
        <w:color w:val="14625B"/>
        <w:sz w:val="16"/>
        <w:szCs w:val="16"/>
      </w:rPr>
    </w:lvl>
    <w:lvl w:ilvl="1" w15:tentative="1">
      <w:start w:val="1"/>
      <w:numFmt w:val="bullet"/>
      <w:lvlText w:val="○"/>
      <w:lvlJc w:val="left"/>
      <w:pPr>
        <w:ind w:left="936" w:hanging="288"/>
      </w:pPr>
      <w:rPr>
        <w:color w:val="14625B"/>
        <w:sz w:val="16"/>
        <w:szCs w:val="16"/>
      </w:r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name="compatibilityMode" w:uri="http://schemas.microsoft.com/office/word" w:val="15"/>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