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Partnerships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Communications</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Birmingham — hybrid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Marketing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4–6 hours per week, on average</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build the non-financial relationships that give Pinnacle reach and credibility — mosques, universities, community organisations, sports clubs and local institutions. Corporate Partnership handles money; you build mutual value.</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Relationship building</w:t>
      </w:r>
    </w:p>
    <w:p>
      <w:pPr>
        <w:pStyle w:val="ListParagraph"/>
        <w:numPr>
          <w:ilvl w:val="1"/>
          <w:numId w:val="2"/>
        </w:numPr>
        <w:spacing w:after="60" w:line="264"/>
      </w:pPr>
      <w:r>
        <w:rPr>
          <w:rFonts w:ascii="Calibri" w:cs="Calibri" w:eastAsia="Calibri" w:hAnsi="Calibri"/>
          <w:color w:val="262626"/>
          <w:sz w:val="21"/>
          <w:szCs w:val="21"/>
        </w:rPr>
        <w:t xml:space="preserve">Map and prioritise the organisations worth partnering with across the city.</w:t>
      </w:r>
    </w:p>
    <w:p>
      <w:pPr>
        <w:pStyle w:val="ListParagraph"/>
        <w:numPr>
          <w:ilvl w:val="1"/>
          <w:numId w:val="2"/>
        </w:numPr>
        <w:spacing w:after="60" w:line="264"/>
      </w:pPr>
      <w:r>
        <w:rPr>
          <w:rFonts w:ascii="Calibri" w:cs="Calibri" w:eastAsia="Calibri" w:hAnsi="Calibri"/>
          <w:color w:val="262626"/>
          <w:sz w:val="21"/>
          <w:szCs w:val="21"/>
        </w:rPr>
        <w:t xml:space="preserve">Make first approaches and build genuine working relationships.</w:t>
      </w:r>
    </w:p>
    <w:p>
      <w:pPr>
        <w:pStyle w:val="ListParagraph"/>
        <w:numPr>
          <w:ilvl w:val="1"/>
          <w:numId w:val="2"/>
        </w:numPr>
        <w:spacing w:after="60" w:line="264"/>
      </w:pPr>
      <w:r>
        <w:rPr>
          <w:rFonts w:ascii="Calibri" w:cs="Calibri" w:eastAsia="Calibri" w:hAnsi="Calibri"/>
          <w:color w:val="262626"/>
          <w:sz w:val="21"/>
          <w:szCs w:val="21"/>
        </w:rPr>
        <w:t xml:space="preserve">Define what Pinnacle offers a partner, not only what we want from them.</w:t>
      </w:r>
    </w:p>
    <w:p>
      <w:pPr>
        <w:spacing w:after="60" w:before="160"/>
        <w:ind w:left="288"/>
      </w:pPr>
      <w:r>
        <w:rPr>
          <w:rFonts w:ascii="Calibri" w:cs="Calibri" w:eastAsia="Calibri" w:hAnsi="Calibri"/>
          <w:b/>
          <w:bCs/>
          <w:color w:val="262626"/>
          <w:sz w:val="21"/>
          <w:szCs w:val="21"/>
        </w:rPr>
        <w:t xml:space="preserve">2.  Partnership delivery</w:t>
      </w:r>
    </w:p>
    <w:p>
      <w:pPr>
        <w:pStyle w:val="ListParagraph"/>
        <w:numPr>
          <w:ilvl w:val="1"/>
          <w:numId w:val="2"/>
        </w:numPr>
        <w:spacing w:after="60" w:line="264"/>
      </w:pPr>
      <w:r>
        <w:rPr>
          <w:rFonts w:ascii="Calibri" w:cs="Calibri" w:eastAsia="Calibri" w:hAnsi="Calibri"/>
          <w:color w:val="262626"/>
          <w:sz w:val="21"/>
          <w:szCs w:val="21"/>
        </w:rPr>
        <w:t xml:space="preserve">Agree scope in writing through MOUs or referral arrangements.</w:t>
      </w:r>
    </w:p>
    <w:p>
      <w:pPr>
        <w:pStyle w:val="ListParagraph"/>
        <w:numPr>
          <w:ilvl w:val="1"/>
          <w:numId w:val="2"/>
        </w:numPr>
        <w:spacing w:after="60" w:line="264"/>
      </w:pPr>
      <w:r>
        <w:rPr>
          <w:rFonts w:ascii="Calibri" w:cs="Calibri" w:eastAsia="Calibri" w:hAnsi="Calibri"/>
          <w:color w:val="262626"/>
          <w:sz w:val="21"/>
          <w:szCs w:val="21"/>
        </w:rPr>
        <w:t xml:space="preserve">Coordinate joint events, cross-promotion and shared initiatives.</w:t>
      </w:r>
    </w:p>
    <w:p>
      <w:pPr>
        <w:pStyle w:val="ListParagraph"/>
        <w:numPr>
          <w:ilvl w:val="1"/>
          <w:numId w:val="2"/>
        </w:numPr>
        <w:spacing w:after="60" w:line="264"/>
      </w:pPr>
      <w:r>
        <w:rPr>
          <w:rFonts w:ascii="Calibri" w:cs="Calibri" w:eastAsia="Calibri" w:hAnsi="Calibri"/>
          <w:color w:val="262626"/>
          <w:sz w:val="21"/>
          <w:szCs w:val="21"/>
        </w:rPr>
        <w:t xml:space="preserve">Deliver our side properly, so partners want a second year.</w:t>
      </w:r>
    </w:p>
    <w:p>
      <w:pPr>
        <w:spacing w:after="60" w:before="160"/>
        <w:ind w:left="288"/>
      </w:pPr>
      <w:r>
        <w:rPr>
          <w:rFonts w:ascii="Calibri" w:cs="Calibri" w:eastAsia="Calibri" w:hAnsi="Calibri"/>
          <w:b/>
          <w:bCs/>
          <w:color w:val="262626"/>
          <w:sz w:val="21"/>
          <w:szCs w:val="21"/>
        </w:rPr>
        <w:t xml:space="preserve">3.  Reach &amp; audience</w:t>
      </w:r>
    </w:p>
    <w:p>
      <w:pPr>
        <w:pStyle w:val="ListParagraph"/>
        <w:numPr>
          <w:ilvl w:val="1"/>
          <w:numId w:val="2"/>
        </w:numPr>
        <w:spacing w:after="60" w:line="264"/>
      </w:pPr>
      <w:r>
        <w:rPr>
          <w:rFonts w:ascii="Calibri" w:cs="Calibri" w:eastAsia="Calibri" w:hAnsi="Calibri"/>
          <w:color w:val="262626"/>
          <w:sz w:val="21"/>
          <w:szCs w:val="21"/>
        </w:rPr>
        <w:t xml:space="preserve">Use partnerships to reach young adults we are not currently reaching.</w:t>
      </w:r>
    </w:p>
    <w:p>
      <w:pPr>
        <w:pStyle w:val="ListParagraph"/>
        <w:numPr>
          <w:ilvl w:val="1"/>
          <w:numId w:val="2"/>
        </w:numPr>
        <w:spacing w:after="60" w:line="264"/>
      </w:pPr>
      <w:r>
        <w:rPr>
          <w:rFonts w:ascii="Calibri" w:cs="Calibri" w:eastAsia="Calibri" w:hAnsi="Calibri"/>
          <w:color w:val="262626"/>
          <w:sz w:val="21"/>
          <w:szCs w:val="21"/>
        </w:rPr>
        <w:t xml:space="preserve">Support Marketing with partner distribution channels.</w:t>
      </w:r>
    </w:p>
    <w:p>
      <w:pPr>
        <w:pStyle w:val="ListParagraph"/>
        <w:numPr>
          <w:ilvl w:val="1"/>
          <w:numId w:val="2"/>
        </w:numPr>
        <w:spacing w:after="60" w:line="264"/>
      </w:pPr>
      <w:r>
        <w:rPr>
          <w:rFonts w:ascii="Calibri" w:cs="Calibri" w:eastAsia="Calibri" w:hAnsi="Calibri"/>
          <w:color w:val="262626"/>
          <w:sz w:val="21"/>
          <w:szCs w:val="21"/>
        </w:rPr>
        <w:t xml:space="preserve">Represent Pinnacle credibly at partner events.</w:t>
      </w:r>
    </w:p>
    <w:p>
      <w:pPr>
        <w:spacing w:after="60" w:before="160"/>
        <w:ind w:left="288"/>
      </w:pPr>
      <w:r>
        <w:rPr>
          <w:rFonts w:ascii="Calibri" w:cs="Calibri" w:eastAsia="Calibri" w:hAnsi="Calibri"/>
          <w:b/>
          <w:bCs/>
          <w:color w:val="262626"/>
          <w:sz w:val="21"/>
          <w:szCs w:val="21"/>
        </w:rPr>
        <w:t xml:space="preserve">4.  Coordination &amp; records</w:t>
      </w:r>
    </w:p>
    <w:p>
      <w:pPr>
        <w:pStyle w:val="ListParagraph"/>
        <w:numPr>
          <w:ilvl w:val="1"/>
          <w:numId w:val="2"/>
        </w:numPr>
        <w:spacing w:after="60" w:line="264"/>
      </w:pPr>
      <w:r>
        <w:rPr>
          <w:rFonts w:ascii="Calibri" w:cs="Calibri" w:eastAsia="Calibri" w:hAnsi="Calibri"/>
          <w:color w:val="262626"/>
          <w:sz w:val="21"/>
          <w:szCs w:val="21"/>
        </w:rPr>
        <w:t xml:space="preserve">Coordinate with the Corporate Partnership Lead so one organisation has one relationship with us.</w:t>
      </w:r>
    </w:p>
    <w:p>
      <w:pPr>
        <w:pStyle w:val="ListParagraph"/>
        <w:numPr>
          <w:ilvl w:val="1"/>
          <w:numId w:val="2"/>
        </w:numPr>
        <w:spacing w:after="60" w:line="264"/>
      </w:pPr>
      <w:r>
        <w:rPr>
          <w:rFonts w:ascii="Calibri" w:cs="Calibri" w:eastAsia="Calibri" w:hAnsi="Calibri"/>
          <w:color w:val="262626"/>
          <w:sz w:val="21"/>
          <w:szCs w:val="21"/>
        </w:rPr>
        <w:t xml:space="preserve">Maintain the partnerships register: status, owner, value and renewal date.</w:t>
      </w:r>
    </w:p>
    <w:p>
      <w:pPr>
        <w:pStyle w:val="ListParagraph"/>
        <w:numPr>
          <w:ilvl w:val="1"/>
          <w:numId w:val="2"/>
        </w:numPr>
        <w:spacing w:after="60" w:line="264"/>
      </w:pPr>
      <w:r>
        <w:rPr>
          <w:rFonts w:ascii="Calibri" w:cs="Calibri" w:eastAsia="Calibri" w:hAnsi="Calibri"/>
          <w:color w:val="262626"/>
          <w:sz w:val="21"/>
          <w:szCs w:val="21"/>
        </w:rPr>
        <w:t xml:space="preserve">Report on partnership activity to the CMO.</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Relationship-building or community engagement experience.</w:t>
      </w:r>
    </w:p>
    <w:p>
      <w:pPr>
        <w:pStyle w:val="ListParagraph"/>
        <w:numPr>
          <w:ilvl w:val="0"/>
          <w:numId w:val="2"/>
        </w:numPr>
        <w:spacing w:after="60" w:line="264"/>
      </w:pPr>
      <w:r>
        <w:rPr>
          <w:rFonts w:ascii="Calibri" w:cs="Calibri" w:eastAsia="Calibri" w:hAnsi="Calibri"/>
          <w:color w:val="262626"/>
          <w:sz w:val="21"/>
          <w:szCs w:val="21"/>
        </w:rPr>
        <w:t xml:space="preserve">Confident making a first approach to someone you do not know.</w:t>
      </w:r>
    </w:p>
    <w:p>
      <w:pPr>
        <w:pStyle w:val="ListParagraph"/>
        <w:numPr>
          <w:ilvl w:val="0"/>
          <w:numId w:val="2"/>
        </w:numPr>
        <w:spacing w:after="60" w:line="264"/>
      </w:pPr>
      <w:r>
        <w:rPr>
          <w:rFonts w:ascii="Calibri" w:cs="Calibri" w:eastAsia="Calibri" w:hAnsi="Calibri"/>
          <w:color w:val="262626"/>
          <w:sz w:val="21"/>
          <w:szCs w:val="21"/>
        </w:rPr>
        <w:t xml:space="preserve">Strong follow-through — most partnerships die of neglect.</w:t>
      </w:r>
    </w:p>
    <w:p>
      <w:pPr>
        <w:pStyle w:val="ListParagraph"/>
        <w:numPr>
          <w:ilvl w:val="0"/>
          <w:numId w:val="2"/>
        </w:numPr>
        <w:spacing w:after="60" w:line="264"/>
      </w:pPr>
      <w:r>
        <w:rPr>
          <w:rFonts w:ascii="Calibri" w:cs="Calibri" w:eastAsia="Calibri" w:hAnsi="Calibri"/>
          <w:color w:val="262626"/>
          <w:sz w:val="21"/>
          <w:szCs w:val="21"/>
        </w:rPr>
        <w:t xml:space="preserve">Credible representing Pinnacle without senior cover in the room.</w:t>
      </w:r>
    </w:p>
    <w:p>
      <w:pPr>
        <w:pStyle w:val="ListParagraph"/>
        <w:numPr>
          <w:ilvl w:val="0"/>
          <w:numId w:val="2"/>
        </w:numPr>
        <w:spacing w:after="60" w:line="264"/>
      </w:pPr>
      <w:r>
        <w:rPr>
          <w:rFonts w:ascii="Calibri" w:cs="Calibri" w:eastAsia="Calibri" w:hAnsi="Calibri"/>
          <w:color w:val="262626"/>
          <w:sz w:val="21"/>
          <w:szCs w:val="21"/>
        </w:rPr>
        <w:t xml:space="preserve">Knowledge of Birmingham's community and institutional landscape (desirable).</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