
<file path=[Content_Types].xml><?xml version="1.0" encoding="utf-8"?>
<Types xmlns="http://schemas.openxmlformats.org/package/2006/content-types">
  <Default Extension="png" ContentType="image/png"/>
  <Default Extension="jpeg" ContentType="image/jpeg"/>
  <Default Extension="jpg" ContentType="image/jpeg"/>
  <Default Extension="bmp" ContentType="image/bmp"/>
  <Default Extension="gif" ContentType="image/gif"/>
  <Default Extension="svg" ContentType="image/svg+xml"/>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endnotes.xml" ContentType="application/vnd.openxmlformats-officedocument.wordprocessingml.endnotes+xml"/>
  <Override PartName="/word/settings.xml" ContentType="application/vnd.openxmlformats-officedocument.wordprocessingml.settings+xml"/>
  <Override PartName="/word/comments.xml" ContentType="application/vnd.openxmlformats-officedocument.wordprocessingml.comments+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rPr>
          <w:rFonts w:ascii="Calibri" w:cs="Calibri" w:eastAsia="Calibri" w:hAnsi="Calibri"/>
          <w:b/>
          <w:bCs/>
          <w:color w:val="14625B"/>
          <w:sz w:val="30"/>
          <w:szCs w:val="30"/>
        </w:rPr>
        <w:t xml:space="preserve">The Pinnacle Centre</w:t>
      </w:r>
    </w:p>
    <w:p>
      <w:pPr>
        <w:pBdr>
          <w:bottom w:val="single" w:color="14625B" w:sz="8" w:space="1"/>
        </w:pBdr>
        <w:spacing w:after="200" w:before="120"/>
      </w:pPr>
      <w:r>
        <w:rPr>
          <w:sz w:val="2"/>
          <w:szCs w:val="2"/>
        </w:rPr>
        <w:t xml:space="preserve"/>
      </w:r>
    </w:p>
    <w:tbl>
      <w:tblPr>
        <w:tblW w:type="dxa" w:w="9000"/>
        <w:tblBorders>
          <w:top w:val="none" w:color="FFFFFF" w:sz="0"/>
          <w:left w:val="none" w:color="FFFFFF" w:sz="0"/>
          <w:bottom w:val="none" w:color="FFFFFF" w:sz="0"/>
          <w:right w:val="none" w:color="FFFFFF" w:sz="0"/>
          <w:insideH w:val="none" w:color="FFFFFF" w:sz="0"/>
          <w:insideV w:val="none" w:color="FFFFFF" w:sz="0"/>
        </w:tblBorders>
      </w:tblPr>
      <w:tblGrid>
        <w:gridCol w:w="2600"/>
        <w:gridCol w:w="6400"/>
      </w:tblGrid>
      <w:tr>
        <w:tc>
          <w:tcPr>
            <w:tcW w:type="dxa" w:w="2600"/>
            <w:tcBorders>
              <w:top w:val="none" w:color="FFFFFF" w:sz="0"/>
              <w:left w:val="none" w:color="FFFFFF" w:sz="0"/>
              <w:bottom w:val="none" w:color="FFFFFF" w:sz="0"/>
              <w:right w:val="none" w:color="FFFFFF" w:sz="0"/>
            </w:tcBorders>
            <w:tcMar>
              <w:top w:type="dxa" w:w="40"/>
              <w:left w:type="dxa" w:w="0"/>
              <w:bottom w:type="dxa" w:w="40"/>
              <w:right w:type="dxa" w:w="60"/>
            </w:tcMar>
          </w:tcPr>
          <w:p>
            <w:r>
              <w:rPr>
                <w:rFonts w:ascii="Calibri" w:cs="Calibri" w:eastAsia="Calibri" w:hAnsi="Calibri"/>
                <w:b/>
                <w:bCs/>
                <w:color w:val="14625B"/>
                <w:sz w:val="21"/>
                <w:szCs w:val="21"/>
              </w:rPr>
              <w:t xml:space="preserve">Role Title:</w:t>
            </w:r>
          </w:p>
        </w:tc>
        <w:tc>
          <w:tcPr>
            <w:tcW w:type="dxa" w:w="6400"/>
            <w:tcBorders>
              <w:top w:val="none" w:color="FFFFFF" w:sz="0"/>
              <w:left w:val="none" w:color="FFFFFF" w:sz="0"/>
              <w:bottom w:val="none" w:color="FFFFFF" w:sz="0"/>
              <w:right w:val="none" w:color="FFFFFF" w:sz="0"/>
            </w:tcBorders>
            <w:tcMar>
              <w:top w:type="dxa" w:w="40"/>
              <w:left w:type="dxa" w:w="0"/>
              <w:bottom w:type="dxa" w:w="40"/>
              <w:right w:type="dxa" w:w="60"/>
            </w:tcMar>
          </w:tcPr>
          <w:p>
            <w:r>
              <w:rPr>
                <w:rFonts w:ascii="Calibri" w:cs="Calibri" w:eastAsia="Calibri" w:hAnsi="Calibri"/>
                <w:b/>
                <w:bCs/>
                <w:color w:val="14625B"/>
                <w:sz w:val="21"/>
                <w:szCs w:val="21"/>
              </w:rPr>
              <w:t xml:space="preserve">Operations Lead</w:t>
            </w:r>
          </w:p>
        </w:tc>
      </w:tr>
      <w:tr>
        <w:tc>
          <w:tcPr>
            <w:tcW w:type="dxa" w:w="2600"/>
            <w:tcBorders>
              <w:top w:val="none" w:color="FFFFFF" w:sz="0"/>
              <w:left w:val="none" w:color="FFFFFF" w:sz="0"/>
              <w:bottom w:val="none" w:color="FFFFFF" w:sz="0"/>
              <w:right w:val="none" w:color="FFFFFF" w:sz="0"/>
            </w:tcBorders>
            <w:tcMar>
              <w:top w:type="dxa" w:w="40"/>
              <w:left w:type="dxa" w:w="0"/>
              <w:bottom w:type="dxa" w:w="40"/>
              <w:right w:type="dxa" w:w="60"/>
            </w:tcMar>
          </w:tcPr>
          <w:p>
            <w:r>
              <w:rPr>
                <w:rFonts w:ascii="Calibri" w:cs="Calibri" w:eastAsia="Calibri" w:hAnsi="Calibri"/>
                <w:b/>
                <w:bCs/>
                <w:color w:val="14625B"/>
                <w:sz w:val="21"/>
                <w:szCs w:val="21"/>
              </w:rPr>
              <w:t xml:space="preserve">Department:</w:t>
            </w:r>
          </w:p>
        </w:tc>
        <w:tc>
          <w:tcPr>
            <w:tcW w:type="dxa" w:w="6400"/>
            <w:tcBorders>
              <w:top w:val="none" w:color="FFFFFF" w:sz="0"/>
              <w:left w:val="none" w:color="FFFFFF" w:sz="0"/>
              <w:bottom w:val="none" w:color="FFFFFF" w:sz="0"/>
              <w:right w:val="none" w:color="FFFFFF" w:sz="0"/>
            </w:tcBorders>
            <w:tcMar>
              <w:top w:type="dxa" w:w="40"/>
              <w:left w:type="dxa" w:w="0"/>
              <w:bottom w:type="dxa" w:w="40"/>
              <w:right w:type="dxa" w:w="60"/>
            </w:tcMar>
          </w:tcPr>
          <w:p>
            <w:r>
              <w:rPr>
                <w:rFonts w:ascii="Calibri" w:cs="Calibri" w:eastAsia="Calibri" w:hAnsi="Calibri"/>
                <w:b/>
                <w:bCs/>
                <w:color w:val="14625B"/>
                <w:sz w:val="21"/>
                <w:szCs w:val="21"/>
              </w:rPr>
              <w:t xml:space="preserve">Operations</w:t>
            </w:r>
          </w:p>
        </w:tc>
      </w:tr>
      <w:tr>
        <w:tc>
          <w:tcPr>
            <w:tcW w:type="dxa" w:w="2600"/>
            <w:tcBorders>
              <w:top w:val="none" w:color="FFFFFF" w:sz="0"/>
              <w:left w:val="none" w:color="FFFFFF" w:sz="0"/>
              <w:bottom w:val="none" w:color="FFFFFF" w:sz="0"/>
              <w:right w:val="none" w:color="FFFFFF" w:sz="0"/>
            </w:tcBorders>
            <w:tcMar>
              <w:top w:type="dxa" w:w="40"/>
              <w:left w:type="dxa" w:w="0"/>
              <w:bottom w:type="dxa" w:w="40"/>
              <w:right w:type="dxa" w:w="60"/>
            </w:tcMar>
          </w:tcPr>
          <w:p>
            <w:r>
              <w:rPr>
                <w:rFonts w:ascii="Calibri" w:cs="Calibri" w:eastAsia="Calibri" w:hAnsi="Calibri"/>
                <w:b/>
                <w:bCs/>
                <w:color w:val="14625B"/>
                <w:sz w:val="21"/>
                <w:szCs w:val="21"/>
              </w:rPr>
              <w:t xml:space="preserve">Location:</w:t>
            </w:r>
          </w:p>
        </w:tc>
        <w:tc>
          <w:tcPr>
            <w:tcW w:type="dxa" w:w="6400"/>
            <w:tcBorders>
              <w:top w:val="none" w:color="FFFFFF" w:sz="0"/>
              <w:left w:val="none" w:color="FFFFFF" w:sz="0"/>
              <w:bottom w:val="none" w:color="FFFFFF" w:sz="0"/>
              <w:right w:val="none" w:color="FFFFFF" w:sz="0"/>
            </w:tcBorders>
            <w:tcMar>
              <w:top w:type="dxa" w:w="40"/>
              <w:left w:type="dxa" w:w="0"/>
              <w:bottom w:type="dxa" w:w="40"/>
              <w:right w:type="dxa" w:w="60"/>
            </w:tcMar>
          </w:tcPr>
          <w:p>
            <w:r>
              <w:rPr>
                <w:rFonts w:ascii="Calibri" w:cs="Calibri" w:eastAsia="Calibri" w:hAnsi="Calibri"/>
                <w:b/>
                <w:bCs/>
                <w:color w:val="14625B"/>
                <w:sz w:val="21"/>
                <w:szCs w:val="21"/>
              </w:rPr>
              <w:t xml:space="preserve">Birmingham — on site</w:t>
            </w:r>
          </w:p>
        </w:tc>
      </w:tr>
      <w:tr>
        <w:tc>
          <w:tcPr>
            <w:tcW w:type="dxa" w:w="2600"/>
            <w:tcBorders>
              <w:top w:val="none" w:color="FFFFFF" w:sz="0"/>
              <w:left w:val="none" w:color="FFFFFF" w:sz="0"/>
              <w:bottom w:val="none" w:color="FFFFFF" w:sz="0"/>
              <w:right w:val="none" w:color="FFFFFF" w:sz="0"/>
            </w:tcBorders>
            <w:tcMar>
              <w:top w:type="dxa" w:w="40"/>
              <w:left w:type="dxa" w:w="0"/>
              <w:bottom w:type="dxa" w:w="40"/>
              <w:right w:type="dxa" w:w="60"/>
            </w:tcMar>
          </w:tcPr>
          <w:p>
            <w:r>
              <w:rPr>
                <w:rFonts w:ascii="Calibri" w:cs="Calibri" w:eastAsia="Calibri" w:hAnsi="Calibri"/>
                <w:b/>
                <w:bCs/>
                <w:color w:val="14625B"/>
                <w:sz w:val="21"/>
                <w:szCs w:val="21"/>
              </w:rPr>
              <w:t xml:space="preserve">Reporting to:</w:t>
            </w:r>
          </w:p>
        </w:tc>
        <w:tc>
          <w:tcPr>
            <w:tcW w:type="dxa" w:w="6400"/>
            <w:tcBorders>
              <w:top w:val="none" w:color="FFFFFF" w:sz="0"/>
              <w:left w:val="none" w:color="FFFFFF" w:sz="0"/>
              <w:bottom w:val="none" w:color="FFFFFF" w:sz="0"/>
              <w:right w:val="none" w:color="FFFFFF" w:sz="0"/>
            </w:tcBorders>
            <w:tcMar>
              <w:top w:type="dxa" w:w="40"/>
              <w:left w:type="dxa" w:w="0"/>
              <w:bottom w:type="dxa" w:w="40"/>
              <w:right w:type="dxa" w:w="60"/>
            </w:tcMar>
          </w:tcPr>
          <w:p>
            <w:r>
              <w:rPr>
                <w:rFonts w:ascii="Calibri" w:cs="Calibri" w:eastAsia="Calibri" w:hAnsi="Calibri"/>
                <w:b/>
                <w:bCs/>
                <w:color w:val="14625B"/>
                <w:sz w:val="21"/>
                <w:szCs w:val="21"/>
              </w:rPr>
              <w:t xml:space="preserve">Chief Operating Officer</w:t>
            </w:r>
          </w:p>
        </w:tc>
      </w:tr>
      <w:tr>
        <w:tc>
          <w:tcPr>
            <w:tcW w:type="dxa" w:w="2600"/>
            <w:tcBorders>
              <w:top w:val="none" w:color="FFFFFF" w:sz="0"/>
              <w:left w:val="none" w:color="FFFFFF" w:sz="0"/>
              <w:bottom w:val="none" w:color="FFFFFF" w:sz="0"/>
              <w:right w:val="none" w:color="FFFFFF" w:sz="0"/>
            </w:tcBorders>
            <w:tcMar>
              <w:top w:type="dxa" w:w="40"/>
              <w:left w:type="dxa" w:w="0"/>
              <w:bottom w:type="dxa" w:w="40"/>
              <w:right w:type="dxa" w:w="60"/>
            </w:tcMar>
          </w:tcPr>
          <w:p>
            <w:r>
              <w:rPr>
                <w:rFonts w:ascii="Calibri" w:cs="Calibri" w:eastAsia="Calibri" w:hAnsi="Calibri"/>
                <w:b/>
                <w:bCs/>
                <w:color w:val="14625B"/>
                <w:sz w:val="21"/>
                <w:szCs w:val="21"/>
              </w:rPr>
              <w:t xml:space="preserve">Commitment:</w:t>
            </w:r>
          </w:p>
        </w:tc>
        <w:tc>
          <w:tcPr>
            <w:tcW w:type="dxa" w:w="6400"/>
            <w:tcBorders>
              <w:top w:val="none" w:color="FFFFFF" w:sz="0"/>
              <w:left w:val="none" w:color="FFFFFF" w:sz="0"/>
              <w:bottom w:val="none" w:color="FFFFFF" w:sz="0"/>
              <w:right w:val="none" w:color="FFFFFF" w:sz="0"/>
            </w:tcBorders>
            <w:tcMar>
              <w:top w:type="dxa" w:w="40"/>
              <w:left w:type="dxa" w:w="0"/>
              <w:bottom w:type="dxa" w:w="40"/>
              <w:right w:type="dxa" w:w="60"/>
            </w:tcMar>
          </w:tcPr>
          <w:p>
            <w:r>
              <w:rPr>
                <w:rFonts w:ascii="Calibri" w:cs="Calibri" w:eastAsia="Calibri" w:hAnsi="Calibri"/>
                <w:b/>
                <w:bCs/>
                <w:color w:val="14625B"/>
                <w:sz w:val="21"/>
                <w:szCs w:val="21"/>
              </w:rPr>
              <w:t xml:space="preserve">6–8 hours per week, including evenings and weekends</w:t>
            </w:r>
          </w:p>
        </w:tc>
      </w:tr>
    </w:tbl>
    <w:p>
      <w:pPr>
        <w:pBdr>
          <w:bottom w:val="single" w:color="14625B" w:sz="8" w:space="1"/>
        </w:pBdr>
        <w:spacing w:after="200" w:before="120"/>
      </w:pPr>
      <w:r>
        <w:rPr>
          <w:sz w:val="2"/>
          <w:szCs w:val="2"/>
        </w:rPr>
        <w:t xml:space="preserve"/>
      </w:r>
    </w:p>
    <w:p>
      <w:pPr>
        <w:spacing w:after="100" w:before="280"/>
      </w:pPr>
      <w:r>
        <w:rPr>
          <w:rFonts w:ascii="Calibri" w:cs="Calibri" w:eastAsia="Calibri" w:hAnsi="Calibri"/>
          <w:b/>
          <w:bCs/>
          <w:color w:val="14625B"/>
          <w:sz w:val="26"/>
          <w:szCs w:val="26"/>
        </w:rPr>
        <w:t xml:space="preserve">About The Pinnacle Centre</w:t>
      </w:r>
    </w:p>
    <w:p>
      <w:pPr>
        <w:spacing w:after="140" w:line="276"/>
      </w:pPr>
      <w:r>
        <w:rPr>
          <w:rFonts w:ascii="Calibri" w:cs="Calibri" w:eastAsia="Calibri" w:hAnsi="Calibri"/>
          <w:i w:val="false"/>
          <w:iCs w:val="false"/>
          <w:color w:val="262626"/>
          <w:sz w:val="21"/>
          <w:szCs w:val="21"/>
        </w:rPr>
        <w:t xml:space="preserve">The Pinnacle Centre is a third space in Birmingham helping young adults grow holistically. We work across three domains: personal development, sports and wellbeing, and community and belonging.</w:t>
      </w:r>
    </w:p>
    <w:p>
      <w:pPr>
        <w:spacing w:after="140" w:line="276"/>
      </w:pPr>
      <w:r>
        <w:rPr>
          <w:rFonts w:ascii="Calibri" w:cs="Calibri" w:eastAsia="Calibri" w:hAnsi="Calibri"/>
          <w:i w:val="false"/>
          <w:iCs w:val="false"/>
          <w:color w:val="262626"/>
          <w:sz w:val="21"/>
          <w:szCs w:val="21"/>
        </w:rPr>
        <w:t xml:space="preserve">Vision 2030 is where that work is heading. We're building a multi-purpose centre in Birmingham — sports facilities, co-working space, an auditorium and a café — designed as a home for young adults to train, work, learn and gather.</w:t>
      </w:r>
    </w:p>
    <w:p>
      <w:pPr>
        <w:spacing w:after="100" w:before="280"/>
      </w:pPr>
      <w:r>
        <w:rPr>
          <w:rFonts w:ascii="Calibri" w:cs="Calibri" w:eastAsia="Calibri" w:hAnsi="Calibri"/>
          <w:b/>
          <w:bCs/>
          <w:color w:val="14625B"/>
          <w:sz w:val="26"/>
          <w:szCs w:val="26"/>
        </w:rPr>
        <w:t xml:space="preserve">Role Summary</w:t>
      </w:r>
    </w:p>
    <w:p>
      <w:pPr>
        <w:spacing w:after="140" w:line="276"/>
      </w:pPr>
      <w:r>
        <w:rPr>
          <w:rFonts w:ascii="Calibri" w:cs="Calibri" w:eastAsia="Calibri" w:hAnsi="Calibri"/>
          <w:i w:val="false"/>
          <w:iCs w:val="false"/>
          <w:color w:val="262626"/>
          <w:sz w:val="21"/>
          <w:szCs w:val="21"/>
        </w:rPr>
        <w:t xml:space="preserve">You own Pinnacle's operational backbone — venues, suppliers, equipment, budgets and the systems that make delivery repeatable — and you deliver it yourself on the ground. Programmes and Events decide what happens; you make sure it can happen, and then you make it happen.</w:t>
      </w:r>
    </w:p>
    <w:p>
      <w:pPr>
        <w:spacing w:after="100" w:before="280"/>
      </w:pPr>
      <w:r>
        <w:rPr>
          <w:rFonts w:ascii="Calibri" w:cs="Calibri" w:eastAsia="Calibri" w:hAnsi="Calibri"/>
          <w:b/>
          <w:bCs/>
          <w:color w:val="14625B"/>
          <w:sz w:val="26"/>
          <w:szCs w:val="26"/>
        </w:rPr>
        <w:t xml:space="preserve">Key tasks</w:t>
      </w:r>
    </w:p>
    <w:p>
      <w:pPr>
        <w:spacing w:after="60" w:before="160"/>
        <w:ind w:left="288"/>
      </w:pPr>
      <w:r>
        <w:rPr>
          <w:rFonts w:ascii="Calibri" w:cs="Calibri" w:eastAsia="Calibri" w:hAnsi="Calibri"/>
          <w:b/>
          <w:bCs/>
          <w:color w:val="262626"/>
          <w:sz w:val="21"/>
          <w:szCs w:val="21"/>
        </w:rPr>
        <w:t xml:space="preserve">1.  Operational ownership</w:t>
      </w:r>
    </w:p>
    <w:p>
      <w:pPr>
        <w:pStyle w:val="ListParagraph"/>
        <w:numPr>
          <w:ilvl w:val="1"/>
          <w:numId w:val="2"/>
        </w:numPr>
        <w:spacing w:after="60" w:line="264"/>
      </w:pPr>
      <w:r>
        <w:rPr>
          <w:rFonts w:ascii="Calibri" w:cs="Calibri" w:eastAsia="Calibri" w:hAnsi="Calibri"/>
          <w:color w:val="262626"/>
          <w:sz w:val="21"/>
          <w:szCs w:val="21"/>
        </w:rPr>
        <w:t xml:space="preserve">Own the venue, supplier and equipment strategy across all Pinnacle activity.</w:t>
      </w:r>
    </w:p>
    <w:p>
      <w:pPr>
        <w:pStyle w:val="ListParagraph"/>
        <w:numPr>
          <w:ilvl w:val="1"/>
          <w:numId w:val="2"/>
        </w:numPr>
        <w:spacing w:after="60" w:line="264"/>
      </w:pPr>
      <w:r>
        <w:rPr>
          <w:rFonts w:ascii="Calibri" w:cs="Calibri" w:eastAsia="Calibri" w:hAnsi="Calibri"/>
          <w:color w:val="262626"/>
          <w:sz w:val="21"/>
          <w:szCs w:val="21"/>
        </w:rPr>
        <w:t xml:space="preserve">Negotiate and manage contracts, hire agreements and service providers.</w:t>
      </w:r>
    </w:p>
    <w:p>
      <w:pPr>
        <w:pStyle w:val="ListParagraph"/>
        <w:numPr>
          <w:ilvl w:val="1"/>
          <w:numId w:val="2"/>
        </w:numPr>
        <w:spacing w:after="60" w:line="264"/>
      </w:pPr>
      <w:r>
        <w:rPr>
          <w:rFonts w:ascii="Calibri" w:cs="Calibri" w:eastAsia="Calibri" w:hAnsi="Calibri"/>
          <w:color w:val="262626"/>
          <w:sz w:val="21"/>
          <w:szCs w:val="21"/>
        </w:rPr>
        <w:t xml:space="preserve">Hold the operations budget and report actual against forecast to the COO.</w:t>
      </w:r>
    </w:p>
    <w:p>
      <w:pPr>
        <w:spacing w:after="60" w:before="160"/>
        <w:ind w:left="288"/>
      </w:pPr>
      <w:r>
        <w:rPr>
          <w:rFonts w:ascii="Calibri" w:cs="Calibri" w:eastAsia="Calibri" w:hAnsi="Calibri"/>
          <w:b/>
          <w:bCs/>
          <w:color w:val="262626"/>
          <w:sz w:val="21"/>
          <w:szCs w:val="21"/>
        </w:rPr>
        <w:t xml:space="preserve">2.  Delivery</w:t>
      </w:r>
    </w:p>
    <w:p>
      <w:pPr>
        <w:pStyle w:val="ListParagraph"/>
        <w:numPr>
          <w:ilvl w:val="1"/>
          <w:numId w:val="2"/>
        </w:numPr>
        <w:spacing w:after="60" w:line="264"/>
      </w:pPr>
      <w:r>
        <w:rPr>
          <w:rFonts w:ascii="Calibri" w:cs="Calibri" w:eastAsia="Calibri" w:hAnsi="Calibri"/>
          <w:color w:val="262626"/>
          <w:sz w:val="21"/>
          <w:szCs w:val="21"/>
        </w:rPr>
        <w:t xml:space="preserve">Execute the operational plan for scheduled activity: set-up, delivery and pack-down.</w:t>
      </w:r>
    </w:p>
    <w:p>
      <w:pPr>
        <w:pStyle w:val="ListParagraph"/>
        <w:numPr>
          <w:ilvl w:val="1"/>
          <w:numId w:val="2"/>
        </w:numPr>
        <w:spacing w:after="60" w:line="264"/>
      </w:pPr>
      <w:r>
        <w:rPr>
          <w:rFonts w:ascii="Calibri" w:cs="Calibri" w:eastAsia="Calibri" w:hAnsi="Calibri"/>
          <w:color w:val="262626"/>
          <w:sz w:val="21"/>
          <w:szCs w:val="21"/>
        </w:rPr>
        <w:t xml:space="preserve">Act as the on-site operational point of contact during sessions and events.</w:t>
      </w:r>
    </w:p>
    <w:p>
      <w:pPr>
        <w:pStyle w:val="ListParagraph"/>
        <w:numPr>
          <w:ilvl w:val="1"/>
          <w:numId w:val="2"/>
        </w:numPr>
        <w:spacing w:after="60" w:line="264"/>
      </w:pPr>
      <w:r>
        <w:rPr>
          <w:rFonts w:ascii="Calibri" w:cs="Calibri" w:eastAsia="Calibri" w:hAnsi="Calibri"/>
          <w:color w:val="262626"/>
          <w:sz w:val="21"/>
          <w:szCs w:val="21"/>
        </w:rPr>
        <w:t xml:space="preserve">Complete the operational checklist for every activity, every time.</w:t>
      </w:r>
    </w:p>
    <w:p>
      <w:pPr>
        <w:spacing w:after="60" w:before="160"/>
        <w:ind w:left="288"/>
      </w:pPr>
      <w:r>
        <w:rPr>
          <w:rFonts w:ascii="Calibri" w:cs="Calibri" w:eastAsia="Calibri" w:hAnsi="Calibri"/>
          <w:b/>
          <w:bCs/>
          <w:color w:val="262626"/>
          <w:sz w:val="21"/>
          <w:szCs w:val="21"/>
        </w:rPr>
        <w:t xml:space="preserve">3.  Equipment &amp; inventory</w:t>
      </w:r>
    </w:p>
    <w:p>
      <w:pPr>
        <w:pStyle w:val="ListParagraph"/>
        <w:numPr>
          <w:ilvl w:val="1"/>
          <w:numId w:val="2"/>
        </w:numPr>
        <w:spacing w:after="60" w:line="264"/>
      </w:pPr>
      <w:r>
        <w:rPr>
          <w:rFonts w:ascii="Calibri" w:cs="Calibri" w:eastAsia="Calibri" w:hAnsi="Calibri"/>
          <w:color w:val="262626"/>
          <w:sz w:val="21"/>
          <w:szCs w:val="21"/>
        </w:rPr>
        <w:t xml:space="preserve">Maintain the inventory: track, store, clean and repair equipment.</w:t>
      </w:r>
    </w:p>
    <w:p>
      <w:pPr>
        <w:pStyle w:val="ListParagraph"/>
        <w:numPr>
          <w:ilvl w:val="1"/>
          <w:numId w:val="2"/>
        </w:numPr>
        <w:spacing w:after="60" w:line="264"/>
      </w:pPr>
      <w:r>
        <w:rPr>
          <w:rFonts w:ascii="Calibri" w:cs="Calibri" w:eastAsia="Calibri" w:hAnsi="Calibri"/>
          <w:color w:val="262626"/>
          <w:sz w:val="21"/>
          <w:szCs w:val="21"/>
        </w:rPr>
        <w:t xml:space="preserve">Flag replacement needs before something fails mid-session.</w:t>
      </w:r>
    </w:p>
    <w:p>
      <w:pPr>
        <w:pStyle w:val="ListParagraph"/>
        <w:numPr>
          <w:ilvl w:val="1"/>
          <w:numId w:val="2"/>
        </w:numPr>
        <w:spacing w:after="60" w:line="264"/>
      </w:pPr>
      <w:r>
        <w:rPr>
          <w:rFonts w:ascii="Calibri" w:cs="Calibri" w:eastAsia="Calibri" w:hAnsi="Calibri"/>
          <w:color w:val="262626"/>
          <w:sz w:val="21"/>
          <w:szCs w:val="21"/>
        </w:rPr>
        <w:t xml:space="preserve">Manage transport and storage logistics.</w:t>
      </w:r>
    </w:p>
    <w:p>
      <w:pPr>
        <w:spacing w:after="60" w:before="160"/>
        <w:ind w:left="288"/>
      </w:pPr>
      <w:r>
        <w:rPr>
          <w:rFonts w:ascii="Calibri" w:cs="Calibri" w:eastAsia="Calibri" w:hAnsi="Calibri"/>
          <w:b/>
          <w:bCs/>
          <w:color w:val="262626"/>
          <w:sz w:val="21"/>
          <w:szCs w:val="21"/>
        </w:rPr>
        <w:t xml:space="preserve">4.  Risk &amp; compliance</w:t>
      </w:r>
    </w:p>
    <w:p>
      <w:pPr>
        <w:pStyle w:val="ListParagraph"/>
        <w:numPr>
          <w:ilvl w:val="1"/>
          <w:numId w:val="2"/>
        </w:numPr>
        <w:spacing w:after="60" w:line="264"/>
      </w:pPr>
      <w:r>
        <w:rPr>
          <w:rFonts w:ascii="Calibri" w:cs="Calibri" w:eastAsia="Calibri" w:hAnsi="Calibri"/>
          <w:color w:val="262626"/>
          <w:sz w:val="21"/>
          <w:szCs w:val="21"/>
        </w:rPr>
        <w:t xml:space="preserve">Own risk assessments, insurance, licensing and site health and safety.</w:t>
      </w:r>
    </w:p>
    <w:p>
      <w:pPr>
        <w:pStyle w:val="ListParagraph"/>
        <w:numPr>
          <w:ilvl w:val="1"/>
          <w:numId w:val="2"/>
        </w:numPr>
        <w:spacing w:after="60" w:line="264"/>
      </w:pPr>
      <w:r>
        <w:rPr>
          <w:rFonts w:ascii="Calibri" w:cs="Calibri" w:eastAsia="Calibri" w:hAnsi="Calibri"/>
          <w:color w:val="262626"/>
          <w:sz w:val="21"/>
          <w:szCs w:val="21"/>
        </w:rPr>
        <w:t xml:space="preserve">Ensure safeguarding requirements are practically met wherever we operate.</w:t>
      </w:r>
    </w:p>
    <w:p>
      <w:pPr>
        <w:pStyle w:val="ListParagraph"/>
        <w:numPr>
          <w:ilvl w:val="1"/>
          <w:numId w:val="2"/>
        </w:numPr>
        <w:spacing w:after="60" w:line="264"/>
      </w:pPr>
      <w:r>
        <w:rPr>
          <w:rFonts w:ascii="Calibri" w:cs="Calibri" w:eastAsia="Calibri" w:hAnsi="Calibri"/>
          <w:color w:val="262626"/>
          <w:sz w:val="21"/>
          <w:szCs w:val="21"/>
        </w:rPr>
        <w:t xml:space="preserve">Maintain contingency plans for venue loss, equipment failure and staffing gaps.</w:t>
      </w:r>
    </w:p>
    <w:p>
      <w:pPr>
        <w:spacing w:after="60" w:before="160"/>
        <w:ind w:left="288"/>
      </w:pPr>
      <w:r>
        <w:rPr>
          <w:rFonts w:ascii="Calibri" w:cs="Calibri" w:eastAsia="Calibri" w:hAnsi="Calibri"/>
          <w:b/>
          <w:bCs/>
          <w:color w:val="262626"/>
          <w:sz w:val="21"/>
          <w:szCs w:val="21"/>
        </w:rPr>
        <w:t xml:space="preserve">5.  Records &amp; improvement</w:t>
      </w:r>
    </w:p>
    <w:p>
      <w:pPr>
        <w:pStyle w:val="ListParagraph"/>
        <w:numPr>
          <w:ilvl w:val="1"/>
          <w:numId w:val="2"/>
        </w:numPr>
        <w:spacing w:after="60" w:line="264"/>
      </w:pPr>
      <w:r>
        <w:rPr>
          <w:rFonts w:ascii="Calibri" w:cs="Calibri" w:eastAsia="Calibri" w:hAnsi="Calibri"/>
          <w:color w:val="262626"/>
          <w:sz w:val="21"/>
          <w:szCs w:val="21"/>
        </w:rPr>
        <w:t xml:space="preserve">Keep accurate records of bookings, costs and attendance.</w:t>
      </w:r>
    </w:p>
    <w:p>
      <w:pPr>
        <w:pStyle w:val="ListParagraph"/>
        <w:numPr>
          <w:ilvl w:val="1"/>
          <w:numId w:val="2"/>
        </w:numPr>
        <w:spacing w:after="60" w:line="264"/>
      </w:pPr>
      <w:r>
        <w:rPr>
          <w:rFonts w:ascii="Calibri" w:cs="Calibri" w:eastAsia="Calibri" w:hAnsi="Calibri"/>
          <w:color w:val="262626"/>
          <w:sz w:val="21"/>
          <w:szCs w:val="21"/>
        </w:rPr>
        <w:t xml:space="preserve">Document how we run things, so a new volunteer can follow the process unaided.</w:t>
      </w:r>
    </w:p>
    <w:p>
      <w:pPr>
        <w:pStyle w:val="ListParagraph"/>
        <w:numPr>
          <w:ilvl w:val="1"/>
          <w:numId w:val="2"/>
        </w:numPr>
        <w:spacing w:after="60" w:line="264"/>
      </w:pPr>
      <w:r>
        <w:rPr>
          <w:rFonts w:ascii="Calibri" w:cs="Calibri" w:eastAsia="Calibri" w:hAnsi="Calibri"/>
          <w:color w:val="262626"/>
          <w:sz w:val="21"/>
          <w:szCs w:val="21"/>
        </w:rPr>
        <w:t xml:space="preserve">Remove recurring friction rather than firefighting the same problem each month.</w:t>
      </w:r>
    </w:p>
    <w:p>
      <w:pPr>
        <w:spacing w:after="100" w:before="280"/>
      </w:pPr>
      <w:r>
        <w:rPr>
          <w:rFonts w:ascii="Calibri" w:cs="Calibri" w:eastAsia="Calibri" w:hAnsi="Calibri"/>
          <w:b/>
          <w:bCs/>
          <w:color w:val="14625B"/>
          <w:sz w:val="26"/>
          <w:szCs w:val="26"/>
        </w:rPr>
        <w:t xml:space="preserve">What we're looking for</w:t>
      </w:r>
    </w:p>
    <w:p>
      <w:pPr>
        <w:pStyle w:val="ListParagraph"/>
        <w:numPr>
          <w:ilvl w:val="0"/>
          <w:numId w:val="2"/>
        </w:numPr>
        <w:spacing w:after="60" w:line="264"/>
      </w:pPr>
      <w:r>
        <w:rPr>
          <w:rFonts w:ascii="Calibri" w:cs="Calibri" w:eastAsia="Calibri" w:hAnsi="Calibri"/>
          <w:color w:val="262626"/>
          <w:sz w:val="21"/>
          <w:szCs w:val="21"/>
        </w:rPr>
        <w:t xml:space="preserve">Organised, hands-on and practical — you plan it and then you do it.</w:t>
      </w:r>
    </w:p>
    <w:p>
      <w:pPr>
        <w:pStyle w:val="ListParagraph"/>
        <w:numPr>
          <w:ilvl w:val="0"/>
          <w:numId w:val="2"/>
        </w:numPr>
        <w:spacing w:after="60" w:line="264"/>
      </w:pPr>
      <w:r>
        <w:rPr>
          <w:rFonts w:ascii="Calibri" w:cs="Calibri" w:eastAsia="Calibri" w:hAnsi="Calibri"/>
          <w:color w:val="262626"/>
          <w:sz w:val="21"/>
          <w:szCs w:val="21"/>
        </w:rPr>
        <w:t xml:space="preserve">Reliable; people are depending on you being there.</w:t>
      </w:r>
    </w:p>
    <w:p>
      <w:pPr>
        <w:pStyle w:val="ListParagraph"/>
        <w:numPr>
          <w:ilvl w:val="0"/>
          <w:numId w:val="2"/>
        </w:numPr>
        <w:spacing w:after="60" w:line="264"/>
      </w:pPr>
      <w:r>
        <w:rPr>
          <w:rFonts w:ascii="Calibri" w:cs="Calibri" w:eastAsia="Calibri" w:hAnsi="Calibri"/>
          <w:color w:val="262626"/>
          <w:sz w:val="21"/>
          <w:szCs w:val="21"/>
        </w:rPr>
        <w:t xml:space="preserve">Confident negotiating with suppliers and holding them to terms.</w:t>
      </w:r>
    </w:p>
    <w:p>
      <w:pPr>
        <w:pStyle w:val="ListParagraph"/>
        <w:numPr>
          <w:ilvl w:val="0"/>
          <w:numId w:val="2"/>
        </w:numPr>
        <w:spacing w:after="60" w:line="264"/>
      </w:pPr>
      <w:r>
        <w:rPr>
          <w:rFonts w:ascii="Calibri" w:cs="Calibri" w:eastAsia="Calibri" w:hAnsi="Calibri"/>
          <w:color w:val="262626"/>
          <w:sz w:val="21"/>
          <w:szCs w:val="21"/>
        </w:rPr>
        <w:t xml:space="preserve">Comfortable with budgets and record-keeping as well as physical set-up.</w:t>
      </w:r>
    </w:p>
    <w:p>
      <w:pPr>
        <w:pStyle w:val="ListParagraph"/>
        <w:numPr>
          <w:ilvl w:val="0"/>
          <w:numId w:val="2"/>
        </w:numPr>
        <w:spacing w:after="60" w:line="264"/>
      </w:pPr>
      <w:r>
        <w:rPr>
          <w:rFonts w:ascii="Calibri" w:cs="Calibri" w:eastAsia="Calibri" w:hAnsi="Calibri"/>
          <w:color w:val="262626"/>
          <w:sz w:val="21"/>
          <w:szCs w:val="21"/>
        </w:rPr>
        <w:t xml:space="preserve">Based in Birmingham with regular evening and weekend availability.</w:t>
      </w:r>
    </w:p>
    <w:p>
      <w:pPr>
        <w:pStyle w:val="ListParagraph"/>
        <w:numPr>
          <w:ilvl w:val="0"/>
          <w:numId w:val="2"/>
        </w:numPr>
        <w:spacing w:after="60" w:line="264"/>
      </w:pPr>
      <w:r>
        <w:rPr>
          <w:rFonts w:ascii="Calibri" w:cs="Calibri" w:eastAsia="Calibri" w:hAnsi="Calibri"/>
          <w:color w:val="262626"/>
          <w:sz w:val="21"/>
          <w:szCs w:val="21"/>
        </w:rPr>
        <w:t xml:space="preserve">Health and safety or facilities experience, and a full driving licence (desirable).</w:t>
      </w:r>
    </w:p>
    <w:p>
      <w:pPr>
        <w:spacing w:after="100" w:before="280"/>
      </w:pPr>
      <w:r>
        <w:rPr>
          <w:rFonts w:ascii="Calibri" w:cs="Calibri" w:eastAsia="Calibri" w:hAnsi="Calibri"/>
          <w:b/>
          <w:bCs/>
          <w:color w:val="14625B"/>
          <w:sz w:val="26"/>
          <w:szCs w:val="26"/>
        </w:rPr>
        <w:t xml:space="preserve">What we have to offer</w:t>
      </w:r>
    </w:p>
    <w:p>
      <w:pPr>
        <w:pStyle w:val="ListParagraph"/>
        <w:numPr>
          <w:ilvl w:val="0"/>
          <w:numId w:val="2"/>
        </w:numPr>
        <w:spacing w:after="60" w:line="264"/>
      </w:pPr>
      <w:r>
        <w:rPr>
          <w:rFonts w:ascii="Calibri" w:cs="Calibri" w:eastAsia="Calibri" w:hAnsi="Calibri"/>
          <w:color w:val="262626"/>
          <w:sz w:val="21"/>
          <w:szCs w:val="21"/>
        </w:rPr>
        <w:t xml:space="preserve">Real ownership of a function, not a task list — you will shape how it works, not just execute someone else's plan.</w:t>
      </w:r>
    </w:p>
    <w:p>
      <w:pPr>
        <w:pStyle w:val="ListParagraph"/>
        <w:numPr>
          <w:ilvl w:val="0"/>
          <w:numId w:val="2"/>
        </w:numPr>
        <w:spacing w:after="60" w:line="264"/>
      </w:pPr>
      <w:r>
        <w:rPr>
          <w:rFonts w:ascii="Calibri" w:cs="Calibri" w:eastAsia="Calibri" w:hAnsi="Calibri"/>
          <w:color w:val="262626"/>
          <w:sz w:val="21"/>
          <w:szCs w:val="21"/>
        </w:rPr>
        <w:t xml:space="preserve">A seat in a team building towards a 2030 horizon, with a clear line of sight to the leadership team.</w:t>
      </w:r>
    </w:p>
    <w:p>
      <w:pPr>
        <w:pStyle w:val="ListParagraph"/>
        <w:numPr>
          <w:ilvl w:val="0"/>
          <w:numId w:val="2"/>
        </w:numPr>
        <w:spacing w:after="60" w:line="264"/>
      </w:pPr>
      <w:r>
        <w:rPr>
          <w:rFonts w:ascii="Calibri" w:cs="Calibri" w:eastAsia="Calibri" w:hAnsi="Calibri"/>
          <w:color w:val="262626"/>
          <w:sz w:val="21"/>
          <w:szCs w:val="21"/>
        </w:rPr>
        <w:t xml:space="preserve">Access to our network of founders, professionals, entrepreneurs and investors through Pinnacle's events programme.</w:t>
      </w:r>
    </w:p>
    <w:p>
      <w:pPr>
        <w:pStyle w:val="ListParagraph"/>
        <w:numPr>
          <w:ilvl w:val="0"/>
          <w:numId w:val="2"/>
        </w:numPr>
        <w:spacing w:after="60" w:line="264"/>
      </w:pPr>
      <w:r>
        <w:rPr>
          <w:rFonts w:ascii="Calibri" w:cs="Calibri" w:eastAsia="Calibri" w:hAnsi="Calibri"/>
          <w:color w:val="262626"/>
          <w:sz w:val="21"/>
          <w:szCs w:val="21"/>
        </w:rPr>
        <w:t xml:space="preserve">Training, mentoring and the opportunity to build and lead a team of your own as the organisation grows.</w:t>
      </w:r>
    </w:p>
    <w:p>
      <w:pPr>
        <w:pStyle w:val="ListParagraph"/>
        <w:numPr>
          <w:ilvl w:val="0"/>
          <w:numId w:val="2"/>
        </w:numPr>
        <w:spacing w:after="60" w:line="264"/>
      </w:pPr>
      <w:r>
        <w:rPr>
          <w:rFonts w:ascii="Calibri" w:cs="Calibri" w:eastAsia="Calibri" w:hAnsi="Calibri"/>
          <w:color w:val="262626"/>
          <w:sz w:val="21"/>
          <w:szCs w:val="21"/>
        </w:rPr>
        <w:t xml:space="preserve">The reward of building something in your city that will outlast all of us.</w:t>
      </w:r>
    </w:p>
    <w:p>
      <w:pPr>
        <w:spacing w:before="260"/>
      </w:pPr>
    </w:p>
    <w:p>
      <w:pPr>
        <w:spacing w:after="100" w:line="264"/>
      </w:pPr>
      <w:r>
        <w:rPr>
          <w:rFonts w:ascii="Calibri" w:cs="Calibri" w:eastAsia="Calibri" w:hAnsi="Calibri"/>
          <w:i/>
          <w:iCs/>
          <w:color w:val="595959"/>
          <w:sz w:val="19"/>
          <w:szCs w:val="19"/>
        </w:rPr>
        <w:t xml:space="preserve">Please note: this is currently a volunteer position. Reasonable expenses for travel, equipment and refreshments are reimbursed in line with our Expenses Policy. As Pinnacle grows and funding allows, we expect several senior roles to move to paid positions, and volunteers already in post will be considered first.</w:t>
      </w:r>
    </w:p>
    <w:sectPr>
      <w:pgSz w:w="11906" w:h="16838" w:orient="portrait"/>
      <w:pgMar w:top="1100" w:right="1180" w:bottom="1100" w:left="11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04" w:hanging="288"/>
      </w:pPr>
      <w:rPr>
        <w:color w:val="14625B"/>
        <w:sz w:val="16"/>
        <w:szCs w:val="16"/>
      </w:rPr>
    </w:lvl>
    <w:lvl w:ilvl="1" w15:tentative="1">
      <w:start w:val="1"/>
      <w:numFmt w:val="bullet"/>
      <w:lvlText w:val="○"/>
      <w:lvlJc w:val="left"/>
      <w:pPr>
        <w:ind w:left="936" w:hanging="288"/>
      </w:pPr>
      <w:rPr>
        <w:color w:val="14625B"/>
        <w:sz w:val="16"/>
        <w:szCs w:val="16"/>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name="compatibilityMode" w:uri="http://schemas.microsoft.com/office/word" w:val="15"/>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