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Types>
</file>

<file path=_rels/.rels>&#65279;<?xml version="1.0" encoding="utf-8"?><Relationships xmlns="http://schemas.openxmlformats.org/package/2006/relationships"><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72700" w:rsidRDefault="00000000">
      <w:pPr>
        <w:spacing w:after="160"/>
      </w:pPr>
      <w:r>
        <w:rPr>
          <w:rFonts w:ascii="Calibri" w:eastAsia="Calibri" w:hAnsi="Calibri" w:cs="Calibri"/>
          <w:b/>
          <w:bCs/>
          <w:color w:val="14625B"/>
          <w:sz w:val="30"/>
          <w:szCs w:val="30"/>
        </w:rPr>
        <w:t>The Pinnacle Centre</w:t>
      </w:r>
    </w:p>
    <w:p w:rsidR="00572700" w:rsidRDefault="00572700">
      <w:pPr>
        <w:pBdr>
          <w:bottom w:val="single" w:sz="8" w:space="1" w:color="14625B"/>
        </w:pBdr>
        <w:spacing w:before="120" w:after="200"/>
      </w:pPr>
    </w:p>
    <w:tbl>
      <w:tblPr>
        <w:tblW w:w="900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2600"/>
        <w:gridCol w:w="6400"/>
      </w:tblGrid>
      <w:tr w:rsidR="00572700">
        <w:tblPrEx>
          <w:tblCellMar>
            <w:top w:w="0" w:type="dxa"/>
            <w:bottom w:w="0" w:type="dxa"/>
          </w:tblCellMar>
        </w:tblPrEx>
        <w:tc>
          <w:tcPr>
            <w:tcW w:w="2600" w:type="dxa"/>
            <w:tcBorders>
              <w:top w:val="none" w:sz="0" w:space="0" w:color="FFFFFF"/>
              <w:left w:val="none" w:sz="0" w:space="0" w:color="FFFFFF"/>
              <w:bottom w:val="none" w:sz="0" w:space="0" w:color="FFFFFF"/>
              <w:right w:val="none" w:sz="0" w:space="0" w:color="FFFFFF"/>
            </w:tcBorders>
            <w:tcMar>
              <w:top w:w="40" w:type="dxa"/>
              <w:left w:w="0" w:type="dxa"/>
              <w:bottom w:w="40" w:type="dxa"/>
              <w:right w:w="60" w:type="dxa"/>
            </w:tcMar>
          </w:tcPr>
          <w:p w:rsidR="00572700" w:rsidRDefault="00000000">
            <w:r>
              <w:rPr>
                <w:rFonts w:ascii="Calibri" w:eastAsia="Calibri" w:hAnsi="Calibri" w:cs="Calibri"/>
                <w:b/>
                <w:bCs/>
                <w:color w:val="14625B"/>
                <w:sz w:val="21"/>
                <w:szCs w:val="21"/>
              </w:rPr>
              <w:t>Role Title:</w:t>
            </w:r>
          </w:p>
        </w:tc>
        <w:tc>
          <w:tcPr>
            <w:tcW w:w="6400" w:type="dxa"/>
            <w:tcBorders>
              <w:top w:val="none" w:sz="0" w:space="0" w:color="FFFFFF"/>
              <w:left w:val="none" w:sz="0" w:space="0" w:color="FFFFFF"/>
              <w:bottom w:val="none" w:sz="0" w:space="0" w:color="FFFFFF"/>
              <w:right w:val="none" w:sz="0" w:space="0" w:color="FFFFFF"/>
            </w:tcBorders>
            <w:tcMar>
              <w:top w:w="40" w:type="dxa"/>
              <w:left w:w="0" w:type="dxa"/>
              <w:bottom w:w="40" w:type="dxa"/>
              <w:right w:w="60" w:type="dxa"/>
            </w:tcMar>
          </w:tcPr>
          <w:p w:rsidR="00572700" w:rsidRDefault="00201998">
            <w:r>
              <w:rPr>
                <w:rFonts w:ascii="Calibri" w:eastAsia="Calibri" w:hAnsi="Calibri" w:cs="Calibri"/>
                <w:b/>
                <w:bCs/>
                <w:color w:val="14625B"/>
                <w:sz w:val="21"/>
                <w:szCs w:val="21"/>
              </w:rPr>
              <w:t>Marketing</w:t>
            </w:r>
            <w:r w:rsidR="00000000">
              <w:rPr>
                <w:rFonts w:ascii="Calibri" w:eastAsia="Calibri" w:hAnsi="Calibri" w:cs="Calibri"/>
                <w:b/>
                <w:bCs/>
                <w:color w:val="14625B"/>
                <w:sz w:val="21"/>
                <w:szCs w:val="21"/>
              </w:rPr>
              <w:t xml:space="preserve"> Lead</w:t>
            </w:r>
          </w:p>
        </w:tc>
      </w:tr>
      <w:tr w:rsidR="00572700">
        <w:tblPrEx>
          <w:tblCellMar>
            <w:top w:w="0" w:type="dxa"/>
            <w:bottom w:w="0" w:type="dxa"/>
          </w:tblCellMar>
        </w:tblPrEx>
        <w:tc>
          <w:tcPr>
            <w:tcW w:w="2600" w:type="dxa"/>
            <w:tcBorders>
              <w:top w:val="none" w:sz="0" w:space="0" w:color="FFFFFF"/>
              <w:left w:val="none" w:sz="0" w:space="0" w:color="FFFFFF"/>
              <w:bottom w:val="none" w:sz="0" w:space="0" w:color="FFFFFF"/>
              <w:right w:val="none" w:sz="0" w:space="0" w:color="FFFFFF"/>
            </w:tcBorders>
            <w:tcMar>
              <w:top w:w="40" w:type="dxa"/>
              <w:left w:w="0" w:type="dxa"/>
              <w:bottom w:w="40" w:type="dxa"/>
              <w:right w:w="60" w:type="dxa"/>
            </w:tcMar>
          </w:tcPr>
          <w:p w:rsidR="00572700" w:rsidRDefault="00000000">
            <w:r>
              <w:rPr>
                <w:rFonts w:ascii="Calibri" w:eastAsia="Calibri" w:hAnsi="Calibri" w:cs="Calibri"/>
                <w:b/>
                <w:bCs/>
                <w:color w:val="14625B"/>
                <w:sz w:val="21"/>
                <w:szCs w:val="21"/>
              </w:rPr>
              <w:t>Department:</w:t>
            </w:r>
          </w:p>
        </w:tc>
        <w:tc>
          <w:tcPr>
            <w:tcW w:w="6400" w:type="dxa"/>
            <w:tcBorders>
              <w:top w:val="none" w:sz="0" w:space="0" w:color="FFFFFF"/>
              <w:left w:val="none" w:sz="0" w:space="0" w:color="FFFFFF"/>
              <w:bottom w:val="none" w:sz="0" w:space="0" w:color="FFFFFF"/>
              <w:right w:val="none" w:sz="0" w:space="0" w:color="FFFFFF"/>
            </w:tcBorders>
            <w:tcMar>
              <w:top w:w="40" w:type="dxa"/>
              <w:left w:w="0" w:type="dxa"/>
              <w:bottom w:w="40" w:type="dxa"/>
              <w:right w:w="60" w:type="dxa"/>
            </w:tcMar>
          </w:tcPr>
          <w:p w:rsidR="00572700" w:rsidRDefault="00000000">
            <w:r>
              <w:rPr>
                <w:rFonts w:ascii="Calibri" w:eastAsia="Calibri" w:hAnsi="Calibri" w:cs="Calibri"/>
                <w:b/>
                <w:bCs/>
                <w:color w:val="14625B"/>
                <w:sz w:val="21"/>
                <w:szCs w:val="21"/>
              </w:rPr>
              <w:t>Marketing</w:t>
            </w:r>
          </w:p>
        </w:tc>
      </w:tr>
      <w:tr w:rsidR="00572700">
        <w:tblPrEx>
          <w:tblCellMar>
            <w:top w:w="0" w:type="dxa"/>
            <w:bottom w:w="0" w:type="dxa"/>
          </w:tblCellMar>
        </w:tblPrEx>
        <w:tc>
          <w:tcPr>
            <w:tcW w:w="2600" w:type="dxa"/>
            <w:tcBorders>
              <w:top w:val="none" w:sz="0" w:space="0" w:color="FFFFFF"/>
              <w:left w:val="none" w:sz="0" w:space="0" w:color="FFFFFF"/>
              <w:bottom w:val="none" w:sz="0" w:space="0" w:color="FFFFFF"/>
              <w:right w:val="none" w:sz="0" w:space="0" w:color="FFFFFF"/>
            </w:tcBorders>
            <w:tcMar>
              <w:top w:w="40" w:type="dxa"/>
              <w:left w:w="0" w:type="dxa"/>
              <w:bottom w:w="40" w:type="dxa"/>
              <w:right w:w="60" w:type="dxa"/>
            </w:tcMar>
          </w:tcPr>
          <w:p w:rsidR="00572700" w:rsidRDefault="00000000">
            <w:r>
              <w:rPr>
                <w:rFonts w:ascii="Calibri" w:eastAsia="Calibri" w:hAnsi="Calibri" w:cs="Calibri"/>
                <w:b/>
                <w:bCs/>
                <w:color w:val="14625B"/>
                <w:sz w:val="21"/>
                <w:szCs w:val="21"/>
              </w:rPr>
              <w:t>Location:</w:t>
            </w:r>
          </w:p>
        </w:tc>
        <w:tc>
          <w:tcPr>
            <w:tcW w:w="6400" w:type="dxa"/>
            <w:tcBorders>
              <w:top w:val="none" w:sz="0" w:space="0" w:color="FFFFFF"/>
              <w:left w:val="none" w:sz="0" w:space="0" w:color="FFFFFF"/>
              <w:bottom w:val="none" w:sz="0" w:space="0" w:color="FFFFFF"/>
              <w:right w:val="none" w:sz="0" w:space="0" w:color="FFFFFF"/>
            </w:tcBorders>
            <w:tcMar>
              <w:top w:w="40" w:type="dxa"/>
              <w:left w:w="0" w:type="dxa"/>
              <w:bottom w:w="40" w:type="dxa"/>
              <w:right w:w="60" w:type="dxa"/>
            </w:tcMar>
          </w:tcPr>
          <w:p w:rsidR="00572700" w:rsidRDefault="00000000">
            <w:r>
              <w:rPr>
                <w:rFonts w:ascii="Calibri" w:eastAsia="Calibri" w:hAnsi="Calibri" w:cs="Calibri"/>
                <w:b/>
                <w:bCs/>
                <w:color w:val="14625B"/>
                <w:sz w:val="21"/>
                <w:szCs w:val="21"/>
              </w:rPr>
              <w:t>UK, remote</w:t>
            </w:r>
          </w:p>
        </w:tc>
      </w:tr>
      <w:tr w:rsidR="00572700">
        <w:tblPrEx>
          <w:tblCellMar>
            <w:top w:w="0" w:type="dxa"/>
            <w:bottom w:w="0" w:type="dxa"/>
          </w:tblCellMar>
        </w:tblPrEx>
        <w:tc>
          <w:tcPr>
            <w:tcW w:w="2600" w:type="dxa"/>
            <w:tcBorders>
              <w:top w:val="none" w:sz="0" w:space="0" w:color="FFFFFF"/>
              <w:left w:val="none" w:sz="0" w:space="0" w:color="FFFFFF"/>
              <w:bottom w:val="none" w:sz="0" w:space="0" w:color="FFFFFF"/>
              <w:right w:val="none" w:sz="0" w:space="0" w:color="FFFFFF"/>
            </w:tcBorders>
            <w:tcMar>
              <w:top w:w="40" w:type="dxa"/>
              <w:left w:w="0" w:type="dxa"/>
              <w:bottom w:w="40" w:type="dxa"/>
              <w:right w:w="60" w:type="dxa"/>
            </w:tcMar>
          </w:tcPr>
          <w:p w:rsidR="00572700" w:rsidRDefault="00000000">
            <w:r>
              <w:rPr>
                <w:rFonts w:ascii="Calibri" w:eastAsia="Calibri" w:hAnsi="Calibri" w:cs="Calibri"/>
                <w:b/>
                <w:bCs/>
                <w:color w:val="14625B"/>
                <w:sz w:val="21"/>
                <w:szCs w:val="21"/>
              </w:rPr>
              <w:t>Reporting to:</w:t>
            </w:r>
          </w:p>
        </w:tc>
        <w:tc>
          <w:tcPr>
            <w:tcW w:w="6400" w:type="dxa"/>
            <w:tcBorders>
              <w:top w:val="none" w:sz="0" w:space="0" w:color="FFFFFF"/>
              <w:left w:val="none" w:sz="0" w:space="0" w:color="FFFFFF"/>
              <w:bottom w:val="none" w:sz="0" w:space="0" w:color="FFFFFF"/>
              <w:right w:val="none" w:sz="0" w:space="0" w:color="FFFFFF"/>
            </w:tcBorders>
            <w:tcMar>
              <w:top w:w="40" w:type="dxa"/>
              <w:left w:w="0" w:type="dxa"/>
              <w:bottom w:w="40" w:type="dxa"/>
              <w:right w:w="60" w:type="dxa"/>
            </w:tcMar>
          </w:tcPr>
          <w:p w:rsidR="00572700" w:rsidRDefault="00000000">
            <w:r>
              <w:rPr>
                <w:rFonts w:ascii="Calibri" w:eastAsia="Calibri" w:hAnsi="Calibri" w:cs="Calibri"/>
                <w:b/>
                <w:bCs/>
                <w:color w:val="14625B"/>
                <w:sz w:val="21"/>
                <w:szCs w:val="21"/>
              </w:rPr>
              <w:t>Chief Marketing Officer</w:t>
            </w:r>
          </w:p>
        </w:tc>
      </w:tr>
      <w:tr w:rsidR="00572700">
        <w:tblPrEx>
          <w:tblCellMar>
            <w:top w:w="0" w:type="dxa"/>
            <w:bottom w:w="0" w:type="dxa"/>
          </w:tblCellMar>
        </w:tblPrEx>
        <w:tc>
          <w:tcPr>
            <w:tcW w:w="2600" w:type="dxa"/>
            <w:tcBorders>
              <w:top w:val="none" w:sz="0" w:space="0" w:color="FFFFFF"/>
              <w:left w:val="none" w:sz="0" w:space="0" w:color="FFFFFF"/>
              <w:bottom w:val="none" w:sz="0" w:space="0" w:color="FFFFFF"/>
              <w:right w:val="none" w:sz="0" w:space="0" w:color="FFFFFF"/>
            </w:tcBorders>
            <w:tcMar>
              <w:top w:w="40" w:type="dxa"/>
              <w:left w:w="0" w:type="dxa"/>
              <w:bottom w:w="40" w:type="dxa"/>
              <w:right w:w="60" w:type="dxa"/>
            </w:tcMar>
          </w:tcPr>
          <w:p w:rsidR="00572700" w:rsidRDefault="00000000">
            <w:r>
              <w:rPr>
                <w:rFonts w:ascii="Calibri" w:eastAsia="Calibri" w:hAnsi="Calibri" w:cs="Calibri"/>
                <w:b/>
                <w:bCs/>
                <w:color w:val="14625B"/>
                <w:sz w:val="21"/>
                <w:szCs w:val="21"/>
              </w:rPr>
              <w:t>Commitment:</w:t>
            </w:r>
          </w:p>
        </w:tc>
        <w:tc>
          <w:tcPr>
            <w:tcW w:w="6400" w:type="dxa"/>
            <w:tcBorders>
              <w:top w:val="none" w:sz="0" w:space="0" w:color="FFFFFF"/>
              <w:left w:val="none" w:sz="0" w:space="0" w:color="FFFFFF"/>
              <w:bottom w:val="none" w:sz="0" w:space="0" w:color="FFFFFF"/>
              <w:right w:val="none" w:sz="0" w:space="0" w:color="FFFFFF"/>
            </w:tcBorders>
            <w:tcMar>
              <w:top w:w="40" w:type="dxa"/>
              <w:left w:w="0" w:type="dxa"/>
              <w:bottom w:w="40" w:type="dxa"/>
              <w:right w:w="60" w:type="dxa"/>
            </w:tcMar>
          </w:tcPr>
          <w:p w:rsidR="00572700" w:rsidRDefault="00000000">
            <w:r>
              <w:rPr>
                <w:rFonts w:ascii="Calibri" w:eastAsia="Calibri" w:hAnsi="Calibri" w:cs="Calibri"/>
                <w:b/>
                <w:bCs/>
                <w:color w:val="14625B"/>
                <w:sz w:val="21"/>
                <w:szCs w:val="21"/>
              </w:rPr>
              <w:t>6–8 hours per week, on average</w:t>
            </w:r>
          </w:p>
        </w:tc>
      </w:tr>
    </w:tbl>
    <w:p w:rsidR="00572700" w:rsidRDefault="00572700">
      <w:pPr>
        <w:pBdr>
          <w:bottom w:val="single" w:sz="8" w:space="1" w:color="14625B"/>
        </w:pBdr>
        <w:spacing w:before="120" w:after="200"/>
      </w:pPr>
    </w:p>
    <w:p w:rsidR="00572700" w:rsidRDefault="00000000">
      <w:pPr>
        <w:spacing w:before="280" w:after="100"/>
      </w:pPr>
      <w:r>
        <w:rPr>
          <w:rFonts w:ascii="Calibri" w:eastAsia="Calibri" w:hAnsi="Calibri" w:cs="Calibri"/>
          <w:b/>
          <w:bCs/>
          <w:color w:val="14625B"/>
          <w:sz w:val="26"/>
          <w:szCs w:val="26"/>
        </w:rPr>
        <w:t>About The Pinnacle Centre</w:t>
      </w:r>
    </w:p>
    <w:p w:rsidR="00572700" w:rsidRDefault="00000000">
      <w:pPr>
        <w:spacing w:after="140" w:line="276" w:lineRule="auto"/>
      </w:pPr>
      <w:r>
        <w:rPr>
          <w:rFonts w:ascii="Calibri" w:eastAsia="Calibri" w:hAnsi="Calibri" w:cs="Calibri"/>
          <w:color w:val="262626"/>
          <w:sz w:val="21"/>
          <w:szCs w:val="21"/>
        </w:rPr>
        <w:t>The Pinnacle Centre is a third space in Birmingham helping young adults grow holistically. We work across three domains: personal development, sports and wellbeing, and community and belonging.</w:t>
      </w:r>
    </w:p>
    <w:p w:rsidR="00572700" w:rsidRDefault="00000000">
      <w:pPr>
        <w:spacing w:after="140" w:line="276" w:lineRule="auto"/>
      </w:pPr>
      <w:r>
        <w:rPr>
          <w:rFonts w:ascii="Calibri" w:eastAsia="Calibri" w:hAnsi="Calibri" w:cs="Calibri"/>
          <w:color w:val="262626"/>
          <w:sz w:val="21"/>
          <w:szCs w:val="21"/>
        </w:rPr>
        <w:t>Vision 2030 is where that work is heading. We're building a multi-purpose centre in Birmingham — sports facilities, co-working space, an auditorium and a café — designed as a home for young adults to train, work, learn and gather.</w:t>
      </w:r>
    </w:p>
    <w:p w:rsidR="00572700" w:rsidRDefault="00000000">
      <w:pPr>
        <w:spacing w:before="280" w:after="100"/>
      </w:pPr>
      <w:r>
        <w:rPr>
          <w:rFonts w:ascii="Calibri" w:eastAsia="Calibri" w:hAnsi="Calibri" w:cs="Calibri"/>
          <w:b/>
          <w:bCs/>
          <w:color w:val="14625B"/>
          <w:sz w:val="26"/>
          <w:szCs w:val="26"/>
        </w:rPr>
        <w:t>Role Summary</w:t>
      </w:r>
    </w:p>
    <w:p w:rsidR="00572700" w:rsidRDefault="00000000">
      <w:pPr>
        <w:spacing w:after="140" w:line="276" w:lineRule="auto"/>
      </w:pPr>
      <w:r>
        <w:rPr>
          <w:rFonts w:ascii="Calibri" w:eastAsia="Calibri" w:hAnsi="Calibri" w:cs="Calibri"/>
          <w:color w:val="262626"/>
          <w:sz w:val="21"/>
          <w:szCs w:val="21"/>
        </w:rPr>
        <w:t>You own campaigns end to end, and the audience thinking behind them. You take a target — attendance, sign-ups, donations — work out who we need to reach and how, brief the team, and deliver the number.</w:t>
      </w:r>
    </w:p>
    <w:p w:rsidR="00572700" w:rsidRDefault="00000000">
      <w:pPr>
        <w:spacing w:before="280" w:after="100"/>
      </w:pPr>
      <w:r>
        <w:rPr>
          <w:rFonts w:ascii="Calibri" w:eastAsia="Calibri" w:hAnsi="Calibri" w:cs="Calibri"/>
          <w:b/>
          <w:bCs/>
          <w:color w:val="14625B"/>
          <w:sz w:val="26"/>
          <w:szCs w:val="26"/>
        </w:rPr>
        <w:t>Key tasks</w:t>
      </w:r>
    </w:p>
    <w:p w:rsidR="00572700" w:rsidRDefault="00000000">
      <w:pPr>
        <w:spacing w:before="160" w:after="60"/>
        <w:ind w:left="288"/>
      </w:pPr>
      <w:r>
        <w:rPr>
          <w:rFonts w:ascii="Calibri" w:eastAsia="Calibri" w:hAnsi="Calibri" w:cs="Calibri"/>
          <w:b/>
          <w:bCs/>
          <w:color w:val="262626"/>
          <w:sz w:val="21"/>
          <w:szCs w:val="21"/>
        </w:rPr>
        <w:t>1.  Audience &amp; planning</w:t>
      </w:r>
    </w:p>
    <w:p w:rsidR="00572700" w:rsidRDefault="00000000">
      <w:pPr>
        <w:pStyle w:val="ListParagraph"/>
        <w:numPr>
          <w:ilvl w:val="1"/>
          <w:numId w:val="2"/>
        </w:numPr>
        <w:spacing w:after="60" w:line="264" w:lineRule="auto"/>
      </w:pPr>
      <w:r>
        <w:rPr>
          <w:rFonts w:ascii="Calibri" w:eastAsia="Calibri" w:hAnsi="Calibri" w:cs="Calibri"/>
          <w:color w:val="262626"/>
          <w:sz w:val="21"/>
          <w:szCs w:val="21"/>
        </w:rPr>
        <w:t>Define priority audiences and what genuinely motivates each of them to turn up.</w:t>
      </w:r>
    </w:p>
    <w:p w:rsidR="00572700" w:rsidRDefault="00000000">
      <w:pPr>
        <w:pStyle w:val="ListParagraph"/>
        <w:numPr>
          <w:ilvl w:val="1"/>
          <w:numId w:val="2"/>
        </w:numPr>
        <w:spacing w:after="60" w:line="264" w:lineRule="auto"/>
      </w:pPr>
      <w:r>
        <w:rPr>
          <w:rFonts w:ascii="Calibri" w:eastAsia="Calibri" w:hAnsi="Calibri" w:cs="Calibri"/>
          <w:color w:val="262626"/>
          <w:sz w:val="21"/>
          <w:szCs w:val="21"/>
        </w:rPr>
        <w:t>Own the marketing calendar, mapped to the programme, event and fundraising calendars.</w:t>
      </w:r>
    </w:p>
    <w:p w:rsidR="00572700" w:rsidRDefault="00000000">
      <w:pPr>
        <w:pStyle w:val="ListParagraph"/>
        <w:numPr>
          <w:ilvl w:val="1"/>
          <w:numId w:val="2"/>
        </w:numPr>
        <w:spacing w:after="60" w:line="264" w:lineRule="auto"/>
      </w:pPr>
      <w:r>
        <w:rPr>
          <w:rFonts w:ascii="Calibri" w:eastAsia="Calibri" w:hAnsi="Calibri" w:cs="Calibri"/>
          <w:color w:val="262626"/>
          <w:sz w:val="21"/>
          <w:szCs w:val="21"/>
        </w:rPr>
        <w:t>Set and publish targets: reach, sign-ups, attendance and return rate.</w:t>
      </w:r>
    </w:p>
    <w:p w:rsidR="00572700" w:rsidRDefault="00000000">
      <w:pPr>
        <w:spacing w:before="160" w:after="60"/>
        <w:ind w:left="288"/>
      </w:pPr>
      <w:r>
        <w:rPr>
          <w:rFonts w:ascii="Calibri" w:eastAsia="Calibri" w:hAnsi="Calibri" w:cs="Calibri"/>
          <w:b/>
          <w:bCs/>
          <w:color w:val="262626"/>
          <w:sz w:val="21"/>
          <w:szCs w:val="21"/>
        </w:rPr>
        <w:t>2.  Campaign execution</w:t>
      </w:r>
    </w:p>
    <w:p w:rsidR="00572700" w:rsidRDefault="00000000">
      <w:pPr>
        <w:pStyle w:val="ListParagraph"/>
        <w:numPr>
          <w:ilvl w:val="1"/>
          <w:numId w:val="2"/>
        </w:numPr>
        <w:spacing w:after="60" w:line="264" w:lineRule="auto"/>
      </w:pPr>
      <w:r>
        <w:rPr>
          <w:rFonts w:ascii="Calibri" w:eastAsia="Calibri" w:hAnsi="Calibri" w:cs="Calibri"/>
          <w:color w:val="262626"/>
          <w:sz w:val="21"/>
          <w:szCs w:val="21"/>
        </w:rPr>
        <w:t>Build campaign plans with objective, audience, message, channels and timeline.</w:t>
      </w:r>
    </w:p>
    <w:p w:rsidR="00572700" w:rsidRDefault="00000000">
      <w:pPr>
        <w:pStyle w:val="ListParagraph"/>
        <w:numPr>
          <w:ilvl w:val="1"/>
          <w:numId w:val="2"/>
        </w:numPr>
        <w:spacing w:after="60" w:line="264" w:lineRule="auto"/>
      </w:pPr>
      <w:r>
        <w:rPr>
          <w:rFonts w:ascii="Calibri" w:eastAsia="Calibri" w:hAnsi="Calibri" w:cs="Calibri"/>
          <w:color w:val="262626"/>
          <w:sz w:val="21"/>
          <w:szCs w:val="21"/>
        </w:rPr>
        <w:t>Write clear briefs for Creative, Video and Social, with realistic lead times.</w:t>
      </w:r>
    </w:p>
    <w:p w:rsidR="00572700" w:rsidRDefault="00000000">
      <w:pPr>
        <w:pStyle w:val="ListParagraph"/>
        <w:numPr>
          <w:ilvl w:val="1"/>
          <w:numId w:val="2"/>
        </w:numPr>
        <w:spacing w:after="60" w:line="264" w:lineRule="auto"/>
      </w:pPr>
      <w:r>
        <w:rPr>
          <w:rFonts w:ascii="Calibri" w:eastAsia="Calibri" w:hAnsi="Calibri" w:cs="Calibri"/>
          <w:color w:val="262626"/>
          <w:sz w:val="21"/>
          <w:szCs w:val="21"/>
        </w:rPr>
        <w:t>Manage paid promotion within budget, and adjust mid-campaign on what the numbers say.</w:t>
      </w:r>
    </w:p>
    <w:p w:rsidR="00572700" w:rsidRDefault="00000000">
      <w:pPr>
        <w:spacing w:before="160" w:after="60"/>
        <w:ind w:left="288"/>
      </w:pPr>
      <w:r>
        <w:rPr>
          <w:rFonts w:ascii="Calibri" w:eastAsia="Calibri" w:hAnsi="Calibri" w:cs="Calibri"/>
          <w:b/>
          <w:bCs/>
          <w:color w:val="262626"/>
          <w:sz w:val="21"/>
          <w:szCs w:val="21"/>
        </w:rPr>
        <w:t>3.  Measurement</w:t>
      </w:r>
    </w:p>
    <w:p w:rsidR="00572700" w:rsidRDefault="00000000">
      <w:pPr>
        <w:pStyle w:val="ListParagraph"/>
        <w:numPr>
          <w:ilvl w:val="1"/>
          <w:numId w:val="2"/>
        </w:numPr>
        <w:spacing w:after="60" w:line="264" w:lineRule="auto"/>
      </w:pPr>
      <w:r>
        <w:rPr>
          <w:rFonts w:ascii="Calibri" w:eastAsia="Calibri" w:hAnsi="Calibri" w:cs="Calibri"/>
          <w:color w:val="262626"/>
          <w:sz w:val="21"/>
          <w:szCs w:val="21"/>
        </w:rPr>
        <w:t>Track performance against target daily while a campaign is live.</w:t>
      </w:r>
    </w:p>
    <w:p w:rsidR="00572700" w:rsidRDefault="00000000">
      <w:pPr>
        <w:pStyle w:val="ListParagraph"/>
        <w:numPr>
          <w:ilvl w:val="1"/>
          <w:numId w:val="2"/>
        </w:numPr>
        <w:spacing w:after="60" w:line="264" w:lineRule="auto"/>
      </w:pPr>
      <w:r>
        <w:rPr>
          <w:rFonts w:ascii="Calibri" w:eastAsia="Calibri" w:hAnsi="Calibri" w:cs="Calibri"/>
          <w:color w:val="262626"/>
          <w:sz w:val="21"/>
          <w:szCs w:val="21"/>
        </w:rPr>
        <w:t>Run post-campaign reviews with honest conclusions.</w:t>
      </w:r>
    </w:p>
    <w:p w:rsidR="00572700" w:rsidRDefault="00000000">
      <w:pPr>
        <w:pStyle w:val="ListParagraph"/>
        <w:numPr>
          <w:ilvl w:val="1"/>
          <w:numId w:val="2"/>
        </w:numPr>
        <w:spacing w:after="60" w:line="264" w:lineRule="auto"/>
      </w:pPr>
      <w:r>
        <w:rPr>
          <w:rFonts w:ascii="Calibri" w:eastAsia="Calibri" w:hAnsi="Calibri" w:cs="Calibri"/>
          <w:color w:val="262626"/>
          <w:sz w:val="21"/>
          <w:szCs w:val="21"/>
        </w:rPr>
        <w:t>Own analytics, CRM data quality and GDPR compliance for marketing communications.</w:t>
      </w:r>
    </w:p>
    <w:p w:rsidR="00572700" w:rsidRDefault="00000000">
      <w:pPr>
        <w:spacing w:before="160" w:after="60"/>
        <w:ind w:left="288"/>
      </w:pPr>
      <w:r>
        <w:rPr>
          <w:rFonts w:ascii="Calibri" w:eastAsia="Calibri" w:hAnsi="Calibri" w:cs="Calibri"/>
          <w:b/>
          <w:bCs/>
          <w:color w:val="262626"/>
          <w:sz w:val="21"/>
          <w:szCs w:val="21"/>
        </w:rPr>
        <w:t>4.  Coordination</w:t>
      </w:r>
    </w:p>
    <w:p w:rsidR="00572700" w:rsidRDefault="00000000">
      <w:pPr>
        <w:pStyle w:val="ListParagraph"/>
        <w:numPr>
          <w:ilvl w:val="1"/>
          <w:numId w:val="2"/>
        </w:numPr>
        <w:spacing w:after="60" w:line="264" w:lineRule="auto"/>
      </w:pPr>
      <w:r>
        <w:rPr>
          <w:rFonts w:ascii="Calibri" w:eastAsia="Calibri" w:hAnsi="Calibri" w:cs="Calibri"/>
          <w:color w:val="262626"/>
          <w:sz w:val="21"/>
          <w:szCs w:val="21"/>
        </w:rPr>
        <w:t>Coordinate with Fundraising on income campaigns and with Events on ticketing.</w:t>
      </w:r>
    </w:p>
    <w:p w:rsidR="00572700" w:rsidRDefault="00000000">
      <w:pPr>
        <w:pStyle w:val="ListParagraph"/>
        <w:numPr>
          <w:ilvl w:val="1"/>
          <w:numId w:val="2"/>
        </w:numPr>
        <w:spacing w:after="60" w:line="264" w:lineRule="auto"/>
      </w:pPr>
      <w:r>
        <w:rPr>
          <w:rFonts w:ascii="Calibri" w:eastAsia="Calibri" w:hAnsi="Calibri" w:cs="Calibri"/>
          <w:color w:val="262626"/>
          <w:sz w:val="21"/>
          <w:szCs w:val="21"/>
        </w:rPr>
        <w:t>Support Partnerships with distribution through partner channels.</w:t>
      </w:r>
    </w:p>
    <w:p w:rsidR="00572700" w:rsidRDefault="00000000">
      <w:pPr>
        <w:pStyle w:val="ListParagraph"/>
        <w:numPr>
          <w:ilvl w:val="1"/>
          <w:numId w:val="2"/>
        </w:numPr>
        <w:spacing w:after="60" w:line="264" w:lineRule="auto"/>
      </w:pPr>
      <w:r>
        <w:rPr>
          <w:rFonts w:ascii="Calibri" w:eastAsia="Calibri" w:hAnsi="Calibri" w:cs="Calibri"/>
          <w:color w:val="262626"/>
          <w:sz w:val="21"/>
          <w:szCs w:val="21"/>
        </w:rPr>
        <w:t>Report to the CMO against target.</w:t>
      </w:r>
    </w:p>
    <w:p w:rsidR="00572700" w:rsidRDefault="00000000">
      <w:pPr>
        <w:spacing w:before="280" w:after="100"/>
      </w:pPr>
      <w:r>
        <w:rPr>
          <w:rFonts w:ascii="Calibri" w:eastAsia="Calibri" w:hAnsi="Calibri" w:cs="Calibri"/>
          <w:b/>
          <w:bCs/>
          <w:color w:val="14625B"/>
          <w:sz w:val="26"/>
          <w:szCs w:val="26"/>
        </w:rPr>
        <w:t>What we're looking for</w:t>
      </w:r>
    </w:p>
    <w:p w:rsidR="00572700" w:rsidRDefault="00000000">
      <w:pPr>
        <w:pStyle w:val="ListParagraph"/>
        <w:numPr>
          <w:ilvl w:val="0"/>
          <w:numId w:val="2"/>
        </w:numPr>
        <w:spacing w:after="60" w:line="264" w:lineRule="auto"/>
      </w:pPr>
      <w:r>
        <w:rPr>
          <w:rFonts w:ascii="Calibri" w:eastAsia="Calibri" w:hAnsi="Calibri" w:cs="Calibri"/>
          <w:color w:val="262626"/>
          <w:sz w:val="21"/>
          <w:szCs w:val="21"/>
        </w:rPr>
        <w:t>Campaign management experience with outcomes you can quantify.</w:t>
      </w:r>
    </w:p>
    <w:p w:rsidR="00572700" w:rsidRDefault="00000000">
      <w:pPr>
        <w:pStyle w:val="ListParagraph"/>
        <w:numPr>
          <w:ilvl w:val="0"/>
          <w:numId w:val="2"/>
        </w:numPr>
        <w:spacing w:after="60" w:line="264" w:lineRule="auto"/>
      </w:pPr>
      <w:r>
        <w:rPr>
          <w:rFonts w:ascii="Calibri" w:eastAsia="Calibri" w:hAnsi="Calibri" w:cs="Calibri"/>
          <w:color w:val="262626"/>
          <w:sz w:val="21"/>
          <w:szCs w:val="21"/>
        </w:rPr>
        <w:t>Fluent in analytics and comfortable running paid social.</w:t>
      </w:r>
    </w:p>
    <w:p w:rsidR="00572700" w:rsidRDefault="00000000">
      <w:pPr>
        <w:pStyle w:val="ListParagraph"/>
        <w:numPr>
          <w:ilvl w:val="0"/>
          <w:numId w:val="2"/>
        </w:numPr>
        <w:spacing w:after="60" w:line="264" w:lineRule="auto"/>
      </w:pPr>
      <w:r>
        <w:rPr>
          <w:rFonts w:ascii="Calibri" w:eastAsia="Calibri" w:hAnsi="Calibri" w:cs="Calibri"/>
          <w:color w:val="262626"/>
          <w:sz w:val="21"/>
          <w:szCs w:val="21"/>
        </w:rPr>
        <w:lastRenderedPageBreak/>
        <w:t>A clear brief writer — precise about audience, message and what success looks like.</w:t>
      </w:r>
    </w:p>
    <w:p w:rsidR="00572700" w:rsidRDefault="00000000">
      <w:pPr>
        <w:pStyle w:val="ListParagraph"/>
        <w:numPr>
          <w:ilvl w:val="0"/>
          <w:numId w:val="2"/>
        </w:numPr>
        <w:spacing w:after="60" w:line="264" w:lineRule="auto"/>
      </w:pPr>
      <w:r>
        <w:rPr>
          <w:rFonts w:ascii="Calibri" w:eastAsia="Calibri" w:hAnsi="Calibri" w:cs="Calibri"/>
          <w:color w:val="262626"/>
          <w:sz w:val="21"/>
          <w:szCs w:val="21"/>
        </w:rPr>
        <w:t>Organised; much of this role is running other people's deadlines.</w:t>
      </w:r>
    </w:p>
    <w:p w:rsidR="00572700" w:rsidRDefault="00000000">
      <w:pPr>
        <w:pStyle w:val="ListParagraph"/>
        <w:numPr>
          <w:ilvl w:val="0"/>
          <w:numId w:val="2"/>
        </w:numPr>
        <w:spacing w:after="60" w:line="264" w:lineRule="auto"/>
      </w:pPr>
      <w:r>
        <w:rPr>
          <w:rFonts w:ascii="Calibri" w:eastAsia="Calibri" w:hAnsi="Calibri" w:cs="Calibri"/>
          <w:color w:val="262626"/>
          <w:sz w:val="21"/>
          <w:szCs w:val="21"/>
        </w:rPr>
        <w:t>Persuasive copywriting ability (desirable).</w:t>
      </w:r>
    </w:p>
    <w:p w:rsidR="00572700" w:rsidRDefault="00000000">
      <w:pPr>
        <w:spacing w:before="280" w:after="100"/>
      </w:pPr>
      <w:r>
        <w:rPr>
          <w:rFonts w:ascii="Calibri" w:eastAsia="Calibri" w:hAnsi="Calibri" w:cs="Calibri"/>
          <w:b/>
          <w:bCs/>
          <w:color w:val="14625B"/>
          <w:sz w:val="26"/>
          <w:szCs w:val="26"/>
        </w:rPr>
        <w:t>What we have to offer</w:t>
      </w:r>
    </w:p>
    <w:p w:rsidR="00572700" w:rsidRDefault="00000000">
      <w:pPr>
        <w:pStyle w:val="ListParagraph"/>
        <w:numPr>
          <w:ilvl w:val="0"/>
          <w:numId w:val="2"/>
        </w:numPr>
        <w:spacing w:after="60" w:line="264" w:lineRule="auto"/>
      </w:pPr>
      <w:r>
        <w:rPr>
          <w:rFonts w:ascii="Calibri" w:eastAsia="Calibri" w:hAnsi="Calibri" w:cs="Calibri"/>
          <w:color w:val="262626"/>
          <w:sz w:val="21"/>
          <w:szCs w:val="21"/>
        </w:rPr>
        <w:t>Real ownership of a function, not a task list — you will shape how it works, not just execute someone else's plan.</w:t>
      </w:r>
    </w:p>
    <w:p w:rsidR="00572700" w:rsidRDefault="00000000">
      <w:pPr>
        <w:pStyle w:val="ListParagraph"/>
        <w:numPr>
          <w:ilvl w:val="0"/>
          <w:numId w:val="2"/>
        </w:numPr>
        <w:spacing w:after="60" w:line="264" w:lineRule="auto"/>
      </w:pPr>
      <w:r>
        <w:rPr>
          <w:rFonts w:ascii="Calibri" w:eastAsia="Calibri" w:hAnsi="Calibri" w:cs="Calibri"/>
          <w:color w:val="262626"/>
          <w:sz w:val="21"/>
          <w:szCs w:val="21"/>
        </w:rPr>
        <w:t>A seat in a team building towards a 2030 horizon, with a clear line of sight to the leadership team.</w:t>
      </w:r>
    </w:p>
    <w:p w:rsidR="00572700" w:rsidRDefault="00000000">
      <w:pPr>
        <w:pStyle w:val="ListParagraph"/>
        <w:numPr>
          <w:ilvl w:val="0"/>
          <w:numId w:val="2"/>
        </w:numPr>
        <w:spacing w:after="60" w:line="264" w:lineRule="auto"/>
      </w:pPr>
      <w:r>
        <w:rPr>
          <w:rFonts w:ascii="Calibri" w:eastAsia="Calibri" w:hAnsi="Calibri" w:cs="Calibri"/>
          <w:color w:val="262626"/>
          <w:sz w:val="21"/>
          <w:szCs w:val="21"/>
        </w:rPr>
        <w:t>Access to our network of founders, professionals, entrepreneurs and investors through Pinnacle's events programme.</w:t>
      </w:r>
    </w:p>
    <w:p w:rsidR="00572700" w:rsidRDefault="00000000">
      <w:pPr>
        <w:pStyle w:val="ListParagraph"/>
        <w:numPr>
          <w:ilvl w:val="0"/>
          <w:numId w:val="2"/>
        </w:numPr>
        <w:spacing w:after="60" w:line="264" w:lineRule="auto"/>
      </w:pPr>
      <w:r>
        <w:rPr>
          <w:rFonts w:ascii="Calibri" w:eastAsia="Calibri" w:hAnsi="Calibri" w:cs="Calibri"/>
          <w:color w:val="262626"/>
          <w:sz w:val="21"/>
          <w:szCs w:val="21"/>
        </w:rPr>
        <w:t>Training, mentoring and the opportunity to build and lead a team of your own as the organisation grows.</w:t>
      </w:r>
    </w:p>
    <w:p w:rsidR="00572700" w:rsidRDefault="00000000">
      <w:pPr>
        <w:pStyle w:val="ListParagraph"/>
        <w:numPr>
          <w:ilvl w:val="0"/>
          <w:numId w:val="2"/>
        </w:numPr>
        <w:spacing w:after="60" w:line="264" w:lineRule="auto"/>
      </w:pPr>
      <w:r>
        <w:rPr>
          <w:rFonts w:ascii="Calibri" w:eastAsia="Calibri" w:hAnsi="Calibri" w:cs="Calibri"/>
          <w:color w:val="262626"/>
          <w:sz w:val="21"/>
          <w:szCs w:val="21"/>
        </w:rPr>
        <w:t>The reward of building something in your city that will outlast all of us.</w:t>
      </w:r>
    </w:p>
    <w:p w:rsidR="00572700" w:rsidRDefault="00572700">
      <w:pPr>
        <w:spacing w:before="260"/>
      </w:pPr>
    </w:p>
    <w:p w:rsidR="00572700" w:rsidRDefault="00000000">
      <w:pPr>
        <w:spacing w:after="100" w:line="264" w:lineRule="auto"/>
      </w:pPr>
      <w:r>
        <w:rPr>
          <w:rFonts w:ascii="Calibri" w:eastAsia="Calibri" w:hAnsi="Calibri" w:cs="Calibri"/>
          <w:i/>
          <w:iCs/>
          <w:color w:val="595959"/>
          <w:sz w:val="19"/>
          <w:szCs w:val="19"/>
        </w:rPr>
        <w:t>Please note: this is currently a volunteer position. Reasonable expenses for travel, equipment and refreshments are reimbursed in line with our Expenses Policy. As Pinnacle grows and funding allows, we expect several senior roles to move to paid positions, and volunteers already in post will be considered first.</w:t>
      </w:r>
    </w:p>
    <w:sectPr w:rsidR="00572700">
      <w:pgSz w:w="11906" w:h="16838"/>
      <w:pgMar w:top="1100" w:right="1180" w:bottom="1100" w:left="118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E73540"/>
    <w:multiLevelType w:val="hybridMultilevel"/>
    <w:tmpl w:val="22AEE88A"/>
    <w:lvl w:ilvl="0" w:tplc="7AFC88C6">
      <w:start w:val="1"/>
      <w:numFmt w:val="bullet"/>
      <w:lvlText w:val="●"/>
      <w:lvlJc w:val="left"/>
      <w:pPr>
        <w:ind w:left="504" w:hanging="288"/>
      </w:pPr>
      <w:rPr>
        <w:color w:val="14625B"/>
        <w:sz w:val="16"/>
        <w:szCs w:val="16"/>
      </w:rPr>
    </w:lvl>
    <w:lvl w:ilvl="1" w:tplc="89BEE698">
      <w:start w:val="1"/>
      <w:numFmt w:val="bullet"/>
      <w:lvlText w:val="○"/>
      <w:lvlJc w:val="left"/>
      <w:pPr>
        <w:ind w:left="936" w:hanging="288"/>
      </w:pPr>
      <w:rPr>
        <w:color w:val="14625B"/>
        <w:sz w:val="16"/>
        <w:szCs w:val="16"/>
      </w:rPr>
    </w:lvl>
    <w:lvl w:ilvl="2" w:tplc="0B82E5B4">
      <w:numFmt w:val="decimal"/>
      <w:lvlText w:val=""/>
      <w:lvlJc w:val="left"/>
    </w:lvl>
    <w:lvl w:ilvl="3" w:tplc="B92A327E">
      <w:numFmt w:val="decimal"/>
      <w:lvlText w:val=""/>
      <w:lvlJc w:val="left"/>
    </w:lvl>
    <w:lvl w:ilvl="4" w:tplc="607E4B12">
      <w:numFmt w:val="decimal"/>
      <w:lvlText w:val=""/>
      <w:lvlJc w:val="left"/>
    </w:lvl>
    <w:lvl w:ilvl="5" w:tplc="5CA0C62C">
      <w:numFmt w:val="decimal"/>
      <w:lvlText w:val=""/>
      <w:lvlJc w:val="left"/>
    </w:lvl>
    <w:lvl w:ilvl="6" w:tplc="FCD4E9E2">
      <w:numFmt w:val="decimal"/>
      <w:lvlText w:val=""/>
      <w:lvlJc w:val="left"/>
    </w:lvl>
    <w:lvl w:ilvl="7" w:tplc="3B127702">
      <w:numFmt w:val="decimal"/>
      <w:lvlText w:val=""/>
      <w:lvlJc w:val="left"/>
    </w:lvl>
    <w:lvl w:ilvl="8" w:tplc="05BC7672">
      <w:numFmt w:val="decimal"/>
      <w:lvlText w:val=""/>
      <w:lvlJc w:val="left"/>
    </w:lvl>
  </w:abstractNum>
  <w:abstractNum w:abstractNumId="1" w15:restartNumberingAfterBreak="0">
    <w:nsid w:val="76CB18F5"/>
    <w:multiLevelType w:val="hybridMultilevel"/>
    <w:tmpl w:val="56BC021A"/>
    <w:lvl w:ilvl="0" w:tplc="05A4B62E">
      <w:start w:val="1"/>
      <w:numFmt w:val="bullet"/>
      <w:lvlText w:val="●"/>
      <w:lvlJc w:val="left"/>
      <w:pPr>
        <w:ind w:left="720" w:hanging="360"/>
      </w:pPr>
    </w:lvl>
    <w:lvl w:ilvl="1" w:tplc="86D40ADE">
      <w:start w:val="1"/>
      <w:numFmt w:val="bullet"/>
      <w:lvlText w:val="○"/>
      <w:lvlJc w:val="left"/>
      <w:pPr>
        <w:ind w:left="1440" w:hanging="360"/>
      </w:pPr>
    </w:lvl>
    <w:lvl w:ilvl="2" w:tplc="5DC25E10">
      <w:start w:val="1"/>
      <w:numFmt w:val="bullet"/>
      <w:lvlText w:val="■"/>
      <w:lvlJc w:val="left"/>
      <w:pPr>
        <w:ind w:left="2160" w:hanging="360"/>
      </w:pPr>
    </w:lvl>
    <w:lvl w:ilvl="3" w:tplc="0F6ABB92">
      <w:start w:val="1"/>
      <w:numFmt w:val="bullet"/>
      <w:lvlText w:val="●"/>
      <w:lvlJc w:val="left"/>
      <w:pPr>
        <w:ind w:left="2880" w:hanging="360"/>
      </w:pPr>
    </w:lvl>
    <w:lvl w:ilvl="4" w:tplc="7BEC9588">
      <w:start w:val="1"/>
      <w:numFmt w:val="bullet"/>
      <w:lvlText w:val="○"/>
      <w:lvlJc w:val="left"/>
      <w:pPr>
        <w:ind w:left="3600" w:hanging="360"/>
      </w:pPr>
    </w:lvl>
    <w:lvl w:ilvl="5" w:tplc="1A1AB470">
      <w:start w:val="1"/>
      <w:numFmt w:val="bullet"/>
      <w:lvlText w:val="■"/>
      <w:lvlJc w:val="left"/>
      <w:pPr>
        <w:ind w:left="4320" w:hanging="360"/>
      </w:pPr>
    </w:lvl>
    <w:lvl w:ilvl="6" w:tplc="ADECD99C">
      <w:start w:val="1"/>
      <w:numFmt w:val="bullet"/>
      <w:lvlText w:val="●"/>
      <w:lvlJc w:val="left"/>
      <w:pPr>
        <w:ind w:left="5040" w:hanging="360"/>
      </w:pPr>
    </w:lvl>
    <w:lvl w:ilvl="7" w:tplc="D6B45AC6">
      <w:start w:val="1"/>
      <w:numFmt w:val="bullet"/>
      <w:lvlText w:val="●"/>
      <w:lvlJc w:val="left"/>
      <w:pPr>
        <w:ind w:left="5760" w:hanging="360"/>
      </w:pPr>
    </w:lvl>
    <w:lvl w:ilvl="8" w:tplc="FA2E40A4">
      <w:start w:val="1"/>
      <w:numFmt w:val="bullet"/>
      <w:lvlText w:val="●"/>
      <w:lvlJc w:val="left"/>
      <w:pPr>
        <w:ind w:left="6480" w:hanging="360"/>
      </w:pPr>
    </w:lvl>
  </w:abstractNum>
  <w:num w:numId="1" w16cid:durableId="1588031103">
    <w:abstractNumId w:val="1"/>
    <w:lvlOverride w:ilvl="0">
      <w:startOverride w:val="1"/>
    </w:lvlOverride>
  </w:num>
  <w:num w:numId="2" w16cid:durableId="56630124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6"/>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4:docId w14:val="37CE7608"/>
  <w15:docId w15:val="{63C6B36C-9E41-A344-89FE-3410C000EA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