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Calibri" w:cs="Calibri" w:eastAsia="Calibri" w:hAnsi="Calibri"/>
          <w:b/>
          <w:bCs/>
          <w:color w:val="14625B"/>
          <w:sz w:val="30"/>
          <w:szCs w:val="30"/>
        </w:rPr>
        <w:t xml:space="preserve">The Pinnacle Centre</w:t>
      </w:r>
    </w:p>
    <w:p>
      <w:pPr>
        <w:pBdr>
          <w:bottom w:val="single" w:color="14625B" w:sz="8" w:space="1"/>
        </w:pBdr>
        <w:spacing w:after="200" w:before="120"/>
      </w:pPr>
      <w:r>
        <w:rPr>
          <w:sz w:val="2"/>
          <w:szCs w:val="2"/>
        </w:rPr>
        <w:t xml:space="preserve"/>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2600"/>
        <w:gridCol w:w="6400"/>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Role Title:</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Grants Lead</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Department: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Fundraising</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Location:</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UK, remote</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Reporting to:</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Chief Finance Officer</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Commitment: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5–7 hours per week, on average</w:t>
            </w:r>
          </w:p>
        </w:tc>
      </w:tr>
    </w:tbl>
    <w:p>
      <w:pPr>
        <w:pBdr>
          <w:bottom w:val="single" w:color="14625B" w:sz="8" w:space="1"/>
        </w:pBdr>
        <w:spacing w:after="200" w:before="120"/>
      </w:pPr>
      <w:r>
        <w:rPr>
          <w:sz w:val="2"/>
          <w:szCs w:val="2"/>
        </w:rPr>
        <w:t xml:space="preserve"/>
      </w:r>
    </w:p>
    <w:p>
      <w:pPr>
        <w:spacing w:after="100" w:before="280"/>
      </w:pPr>
      <w:r>
        <w:rPr>
          <w:rFonts w:ascii="Calibri" w:cs="Calibri" w:eastAsia="Calibri" w:hAnsi="Calibri"/>
          <w:b/>
          <w:bCs/>
          <w:color w:val="14625B"/>
          <w:sz w:val="26"/>
          <w:szCs w:val="26"/>
        </w:rPr>
        <w:t xml:space="preserve">About The Pinnacle Centre</w:t>
      </w:r>
    </w:p>
    <w:p>
      <w:pPr>
        <w:spacing w:after="140" w:line="276"/>
      </w:pPr>
      <w:r>
        <w:rPr>
          <w:rFonts w:ascii="Calibri" w:cs="Calibri" w:eastAsia="Calibri" w:hAnsi="Calibri"/>
          <w:i w:val="false"/>
          <w:iCs w:val="false"/>
          <w:color w:val="262626"/>
          <w:sz w:val="21"/>
          <w:szCs w:val="21"/>
        </w:rPr>
        <w:t xml:space="preserve">The Pinnacle Centre is a third space in Birmingham helping young adults grow holistically. We work across three domains: personal development, sports and wellbeing, and community and belonging.</w:t>
      </w:r>
    </w:p>
    <w:p>
      <w:pPr>
        <w:spacing w:after="140" w:line="276"/>
      </w:pPr>
      <w:r>
        <w:rPr>
          <w:rFonts w:ascii="Calibri" w:cs="Calibri" w:eastAsia="Calibri" w:hAnsi="Calibri"/>
          <w:i w:val="false"/>
          <w:iCs w:val="false"/>
          <w:color w:val="262626"/>
          <w:sz w:val="21"/>
          <w:szCs w:val="21"/>
        </w:rPr>
        <w:t xml:space="preserve">Vision 2030 is where that work is heading. We're building a multi-purpose centre in Birmingham — sports facilities, co-working space, an auditorium and a café — designed as a home for young adults to train, work, learn and gather.</w:t>
      </w:r>
    </w:p>
    <w:p>
      <w:pPr>
        <w:spacing w:after="100" w:before="280"/>
      </w:pPr>
      <w:r>
        <w:rPr>
          <w:rFonts w:ascii="Calibri" w:cs="Calibri" w:eastAsia="Calibri" w:hAnsi="Calibri"/>
          <w:b/>
          <w:bCs/>
          <w:color w:val="14625B"/>
          <w:sz w:val="26"/>
          <w:szCs w:val="26"/>
        </w:rPr>
        <w:t xml:space="preserve">Role Summary</w:t>
      </w:r>
    </w:p>
    <w:p>
      <w:pPr>
        <w:spacing w:after="140" w:line="276"/>
      </w:pPr>
      <w:r>
        <w:rPr>
          <w:rFonts w:ascii="Calibri" w:cs="Calibri" w:eastAsia="Calibri" w:hAnsi="Calibri"/>
          <w:i w:val="false"/>
          <w:iCs w:val="false"/>
          <w:color w:val="262626"/>
          <w:sz w:val="21"/>
          <w:szCs w:val="21"/>
        </w:rPr>
        <w:t xml:space="preserve">You own grant income. You find the funders worth applying to, write applications that win, and meet the reporting obligations that make funders willing to fund us again.</w:t>
      </w:r>
    </w:p>
    <w:p>
      <w:pPr>
        <w:spacing w:after="100" w:before="280"/>
      </w:pPr>
      <w:r>
        <w:rPr>
          <w:rFonts w:ascii="Calibri" w:cs="Calibri" w:eastAsia="Calibri" w:hAnsi="Calibri"/>
          <w:b/>
          <w:bCs/>
          <w:color w:val="14625B"/>
          <w:sz w:val="26"/>
          <w:szCs w:val="26"/>
        </w:rPr>
        <w:t xml:space="preserve">Key tasks</w:t>
      </w:r>
    </w:p>
    <w:p>
      <w:pPr>
        <w:spacing w:after="60" w:before="160"/>
        <w:ind w:left="288"/>
      </w:pPr>
      <w:r>
        <w:rPr>
          <w:rFonts w:ascii="Calibri" w:cs="Calibri" w:eastAsia="Calibri" w:hAnsi="Calibri"/>
          <w:b/>
          <w:bCs/>
          <w:color w:val="262626"/>
          <w:sz w:val="21"/>
          <w:szCs w:val="21"/>
        </w:rPr>
        <w:t xml:space="preserve">1.  Research &amp; pipeline</w:t>
      </w:r>
    </w:p>
    <w:p>
      <w:pPr>
        <w:pStyle w:val="ListParagraph"/>
        <w:numPr>
          <w:ilvl w:val="1"/>
          <w:numId w:val="2"/>
        </w:numPr>
        <w:spacing w:after="60" w:line="264"/>
      </w:pPr>
      <w:r>
        <w:rPr>
          <w:rFonts w:ascii="Calibri" w:cs="Calibri" w:eastAsia="Calibri" w:hAnsi="Calibri"/>
          <w:color w:val="262626"/>
          <w:sz w:val="21"/>
          <w:szCs w:val="21"/>
        </w:rPr>
        <w:t xml:space="preserve">Research trusts, foundations and statutory funders whose priorities genuinely match our work.</w:t>
      </w:r>
    </w:p>
    <w:p>
      <w:pPr>
        <w:pStyle w:val="ListParagraph"/>
        <w:numPr>
          <w:ilvl w:val="1"/>
          <w:numId w:val="2"/>
        </w:numPr>
        <w:spacing w:after="60" w:line="264"/>
      </w:pPr>
      <w:r>
        <w:rPr>
          <w:rFonts w:ascii="Calibri" w:cs="Calibri" w:eastAsia="Calibri" w:hAnsi="Calibri"/>
          <w:color w:val="262626"/>
          <w:sz w:val="21"/>
          <w:szCs w:val="21"/>
        </w:rPr>
        <w:t xml:space="preserve">Maintain a pipeline with deadlines, values and likelihood.</w:t>
      </w:r>
    </w:p>
    <w:p>
      <w:pPr>
        <w:pStyle w:val="ListParagraph"/>
        <w:numPr>
          <w:ilvl w:val="1"/>
          <w:numId w:val="2"/>
        </w:numPr>
        <w:spacing w:after="60" w:line="264"/>
      </w:pPr>
      <w:r>
        <w:rPr>
          <w:rFonts w:ascii="Calibri" w:cs="Calibri" w:eastAsia="Calibri" w:hAnsi="Calibri"/>
          <w:color w:val="262626"/>
          <w:sz w:val="21"/>
          <w:szCs w:val="21"/>
        </w:rPr>
        <w:t xml:space="preserve">Recommend which opportunities to pursue and which to decline.</w:t>
      </w:r>
    </w:p>
    <w:p>
      <w:pPr>
        <w:spacing w:after="60" w:before="160"/>
        <w:ind w:left="288"/>
      </w:pPr>
      <w:r>
        <w:rPr>
          <w:rFonts w:ascii="Calibri" w:cs="Calibri" w:eastAsia="Calibri" w:hAnsi="Calibri"/>
          <w:b/>
          <w:bCs/>
          <w:color w:val="262626"/>
          <w:sz w:val="21"/>
          <w:szCs w:val="21"/>
        </w:rPr>
        <w:t xml:space="preserve">2.  Applications</w:t>
      </w:r>
    </w:p>
    <w:p>
      <w:pPr>
        <w:pStyle w:val="ListParagraph"/>
        <w:numPr>
          <w:ilvl w:val="1"/>
          <w:numId w:val="2"/>
        </w:numPr>
        <w:spacing w:after="60" w:line="264"/>
      </w:pPr>
      <w:r>
        <w:rPr>
          <w:rFonts w:ascii="Calibri" w:cs="Calibri" w:eastAsia="Calibri" w:hAnsi="Calibri"/>
          <w:color w:val="262626"/>
          <w:sz w:val="21"/>
          <w:szCs w:val="21"/>
        </w:rPr>
        <w:t xml:space="preserve">Write applications, working with Programmes for evidence and Finance for budgets.</w:t>
      </w:r>
    </w:p>
    <w:p>
      <w:pPr>
        <w:pStyle w:val="ListParagraph"/>
        <w:numPr>
          <w:ilvl w:val="1"/>
          <w:numId w:val="2"/>
        </w:numPr>
        <w:spacing w:after="60" w:line="264"/>
      </w:pPr>
      <w:r>
        <w:rPr>
          <w:rFonts w:ascii="Calibri" w:cs="Calibri" w:eastAsia="Calibri" w:hAnsi="Calibri"/>
          <w:color w:val="262626"/>
          <w:sz w:val="21"/>
          <w:szCs w:val="21"/>
        </w:rPr>
        <w:t xml:space="preserve">Tailor each application rather than recycling the same text.</w:t>
      </w:r>
    </w:p>
    <w:p>
      <w:pPr>
        <w:pStyle w:val="ListParagraph"/>
        <w:numPr>
          <w:ilvl w:val="1"/>
          <w:numId w:val="2"/>
        </w:numPr>
        <w:spacing w:after="60" w:line="264"/>
      </w:pPr>
      <w:r>
        <w:rPr>
          <w:rFonts w:ascii="Calibri" w:cs="Calibri" w:eastAsia="Calibri" w:hAnsi="Calibri"/>
          <w:color w:val="262626"/>
          <w:sz w:val="21"/>
          <w:szCs w:val="21"/>
        </w:rPr>
        <w:t xml:space="preserve">Manage submission deadlines so that nothing is missed.</w:t>
      </w:r>
    </w:p>
    <w:p>
      <w:pPr>
        <w:spacing w:after="60" w:before="160"/>
        <w:ind w:left="288"/>
      </w:pPr>
      <w:r>
        <w:rPr>
          <w:rFonts w:ascii="Calibri" w:cs="Calibri" w:eastAsia="Calibri" w:hAnsi="Calibri"/>
          <w:b/>
          <w:bCs/>
          <w:color w:val="262626"/>
          <w:sz w:val="21"/>
          <w:szCs w:val="21"/>
        </w:rPr>
        <w:t xml:space="preserve">3.  Reporting &amp; relationships</w:t>
      </w:r>
    </w:p>
    <w:p>
      <w:pPr>
        <w:pStyle w:val="ListParagraph"/>
        <w:numPr>
          <w:ilvl w:val="1"/>
          <w:numId w:val="2"/>
        </w:numPr>
        <w:spacing w:after="60" w:line="264"/>
      </w:pPr>
      <w:r>
        <w:rPr>
          <w:rFonts w:ascii="Calibri" w:cs="Calibri" w:eastAsia="Calibri" w:hAnsi="Calibri"/>
          <w:color w:val="262626"/>
          <w:sz w:val="21"/>
          <w:szCs w:val="21"/>
        </w:rPr>
        <w:t xml:space="preserve">Deliver monitoring reports on time and to the funder's specification.</w:t>
      </w:r>
    </w:p>
    <w:p>
      <w:pPr>
        <w:pStyle w:val="ListParagraph"/>
        <w:numPr>
          <w:ilvl w:val="1"/>
          <w:numId w:val="2"/>
        </w:numPr>
        <w:spacing w:after="60" w:line="264"/>
      </w:pPr>
      <w:r>
        <w:rPr>
          <w:rFonts w:ascii="Calibri" w:cs="Calibri" w:eastAsia="Calibri" w:hAnsi="Calibri"/>
          <w:color w:val="262626"/>
          <w:sz w:val="21"/>
          <w:szCs w:val="21"/>
        </w:rPr>
        <w:t xml:space="preserve">Track restricted spend against grant conditions with Finance.</w:t>
      </w:r>
    </w:p>
    <w:p>
      <w:pPr>
        <w:pStyle w:val="ListParagraph"/>
        <w:numPr>
          <w:ilvl w:val="1"/>
          <w:numId w:val="2"/>
        </w:numPr>
        <w:spacing w:after="60" w:line="264"/>
      </w:pPr>
      <w:r>
        <w:rPr>
          <w:rFonts w:ascii="Calibri" w:cs="Calibri" w:eastAsia="Calibri" w:hAnsi="Calibri"/>
          <w:color w:val="262626"/>
          <w:sz w:val="21"/>
          <w:szCs w:val="21"/>
        </w:rPr>
        <w:t xml:space="preserve">Build relationships with funders that go beyond the application form.</w:t>
      </w:r>
    </w:p>
    <w:p>
      <w:pPr>
        <w:spacing w:after="60" w:before="160"/>
        <w:ind w:left="288"/>
      </w:pPr>
      <w:r>
        <w:rPr>
          <w:rFonts w:ascii="Calibri" w:cs="Calibri" w:eastAsia="Calibri" w:hAnsi="Calibri"/>
          <w:b/>
          <w:bCs/>
          <w:color w:val="262626"/>
          <w:sz w:val="21"/>
          <w:szCs w:val="21"/>
        </w:rPr>
        <w:t xml:space="preserve">4.  Records &amp; learning</w:t>
      </w:r>
    </w:p>
    <w:p>
      <w:pPr>
        <w:pStyle w:val="ListParagraph"/>
        <w:numPr>
          <w:ilvl w:val="1"/>
          <w:numId w:val="2"/>
        </w:numPr>
        <w:spacing w:after="60" w:line="264"/>
      </w:pPr>
      <w:r>
        <w:rPr>
          <w:rFonts w:ascii="Calibri" w:cs="Calibri" w:eastAsia="Calibri" w:hAnsi="Calibri"/>
          <w:color w:val="262626"/>
          <w:sz w:val="21"/>
          <w:szCs w:val="21"/>
        </w:rPr>
        <w:t xml:space="preserve">Maintain accurate records of applications, outcomes and feedback.</w:t>
      </w:r>
    </w:p>
    <w:p>
      <w:pPr>
        <w:pStyle w:val="ListParagraph"/>
        <w:numPr>
          <w:ilvl w:val="1"/>
          <w:numId w:val="2"/>
        </w:numPr>
        <w:spacing w:after="60" w:line="264"/>
      </w:pPr>
      <w:r>
        <w:rPr>
          <w:rFonts w:ascii="Calibri" w:cs="Calibri" w:eastAsia="Calibri" w:hAnsi="Calibri"/>
          <w:color w:val="262626"/>
          <w:sz w:val="21"/>
          <w:szCs w:val="21"/>
        </w:rPr>
        <w:t xml:space="preserve">Learn from unsuccessful bids and share what you learn.</w:t>
      </w:r>
    </w:p>
    <w:p>
      <w:pPr>
        <w:pStyle w:val="ListParagraph"/>
        <w:numPr>
          <w:ilvl w:val="1"/>
          <w:numId w:val="2"/>
        </w:numPr>
        <w:spacing w:after="60" w:line="264"/>
      </w:pPr>
      <w:r>
        <w:rPr>
          <w:rFonts w:ascii="Calibri" w:cs="Calibri" w:eastAsia="Calibri" w:hAnsi="Calibri"/>
          <w:color w:val="262626"/>
          <w:sz w:val="21"/>
          <w:szCs w:val="21"/>
        </w:rPr>
        <w:t xml:space="preserve">Report progress against target to the CFO.</w:t>
      </w:r>
    </w:p>
    <w:p>
      <w:pPr>
        <w:spacing w:after="100" w:before="280"/>
      </w:pPr>
      <w:r>
        <w:rPr>
          <w:rFonts w:ascii="Calibri" w:cs="Calibri" w:eastAsia="Calibri" w:hAnsi="Calibri"/>
          <w:b/>
          <w:bCs/>
          <w:color w:val="14625B"/>
          <w:sz w:val="26"/>
          <w:szCs w:val="26"/>
        </w:rPr>
        <w:t xml:space="preserve">What we're looking for</w:t>
      </w:r>
    </w:p>
    <w:p>
      <w:pPr>
        <w:pStyle w:val="ListParagraph"/>
        <w:numPr>
          <w:ilvl w:val="0"/>
          <w:numId w:val="2"/>
        </w:numPr>
        <w:spacing w:after="60" w:line="264"/>
      </w:pPr>
      <w:r>
        <w:rPr>
          <w:rFonts w:ascii="Calibri" w:cs="Calibri" w:eastAsia="Calibri" w:hAnsi="Calibri"/>
          <w:color w:val="262626"/>
          <w:sz w:val="21"/>
          <w:szCs w:val="21"/>
        </w:rPr>
        <w:t xml:space="preserve">Grant writing experience with a success rate you can describe.</w:t>
      </w:r>
    </w:p>
    <w:p>
      <w:pPr>
        <w:pStyle w:val="ListParagraph"/>
        <w:numPr>
          <w:ilvl w:val="0"/>
          <w:numId w:val="2"/>
        </w:numPr>
        <w:spacing w:after="60" w:line="264"/>
      </w:pPr>
      <w:r>
        <w:rPr>
          <w:rFonts w:ascii="Calibri" w:cs="Calibri" w:eastAsia="Calibri" w:hAnsi="Calibri"/>
          <w:color w:val="262626"/>
          <w:sz w:val="21"/>
          <w:szCs w:val="21"/>
        </w:rPr>
        <w:t xml:space="preserve">Excellent written English and the discipline to follow a specification exactly.</w:t>
      </w:r>
    </w:p>
    <w:p>
      <w:pPr>
        <w:pStyle w:val="ListParagraph"/>
        <w:numPr>
          <w:ilvl w:val="0"/>
          <w:numId w:val="2"/>
        </w:numPr>
        <w:spacing w:after="60" w:line="264"/>
      </w:pPr>
      <w:r>
        <w:rPr>
          <w:rFonts w:ascii="Calibri" w:cs="Calibri" w:eastAsia="Calibri" w:hAnsi="Calibri"/>
          <w:color w:val="262626"/>
          <w:sz w:val="21"/>
          <w:szCs w:val="21"/>
        </w:rPr>
        <w:t xml:space="preserve">Comfortable interpreting funder criteria and reading between the lines.</w:t>
      </w:r>
    </w:p>
    <w:p>
      <w:pPr>
        <w:pStyle w:val="ListParagraph"/>
        <w:numPr>
          <w:ilvl w:val="0"/>
          <w:numId w:val="2"/>
        </w:numPr>
        <w:spacing w:after="60" w:line="264"/>
      </w:pPr>
      <w:r>
        <w:rPr>
          <w:rFonts w:ascii="Calibri" w:cs="Calibri" w:eastAsia="Calibri" w:hAnsi="Calibri"/>
          <w:color w:val="262626"/>
          <w:sz w:val="21"/>
          <w:szCs w:val="21"/>
        </w:rPr>
        <w:t xml:space="preserve">Deadline-driven and well organised.</w:t>
      </w:r>
    </w:p>
    <w:p>
      <w:pPr>
        <w:pStyle w:val="ListParagraph"/>
        <w:numPr>
          <w:ilvl w:val="0"/>
          <w:numId w:val="2"/>
        </w:numPr>
        <w:spacing w:after="60" w:line="264"/>
      </w:pPr>
      <w:r>
        <w:rPr>
          <w:rFonts w:ascii="Calibri" w:cs="Calibri" w:eastAsia="Calibri" w:hAnsi="Calibri"/>
          <w:color w:val="262626"/>
          <w:sz w:val="21"/>
          <w:szCs w:val="21"/>
        </w:rPr>
        <w:t xml:space="preserve">Knowledge of the UK grant landscape (desirable).</w:t>
      </w:r>
    </w:p>
    <w:p>
      <w:pPr>
        <w:spacing w:after="100" w:before="280"/>
      </w:pPr>
      <w:r>
        <w:rPr>
          <w:rFonts w:ascii="Calibri" w:cs="Calibri" w:eastAsia="Calibri" w:hAnsi="Calibri"/>
          <w:b/>
          <w:bCs/>
          <w:color w:val="14625B"/>
          <w:sz w:val="26"/>
          <w:szCs w:val="26"/>
        </w:rPr>
        <w:t xml:space="preserve">What we have to offer</w:t>
      </w:r>
    </w:p>
    <w:p>
      <w:pPr>
        <w:pStyle w:val="ListParagraph"/>
        <w:numPr>
          <w:ilvl w:val="0"/>
          <w:numId w:val="2"/>
        </w:numPr>
        <w:spacing w:after="60" w:line="264"/>
      </w:pPr>
      <w:r>
        <w:rPr>
          <w:rFonts w:ascii="Calibri" w:cs="Calibri" w:eastAsia="Calibri" w:hAnsi="Calibri"/>
          <w:color w:val="262626"/>
          <w:sz w:val="21"/>
          <w:szCs w:val="21"/>
        </w:rPr>
        <w:t xml:space="preserve">Real ownership of a function, not a task list — you will shape how it works, not just execute someone else's plan.</w:t>
      </w:r>
    </w:p>
    <w:p>
      <w:pPr>
        <w:pStyle w:val="ListParagraph"/>
        <w:numPr>
          <w:ilvl w:val="0"/>
          <w:numId w:val="2"/>
        </w:numPr>
        <w:spacing w:after="60" w:line="264"/>
      </w:pPr>
      <w:r>
        <w:rPr>
          <w:rFonts w:ascii="Calibri" w:cs="Calibri" w:eastAsia="Calibri" w:hAnsi="Calibri"/>
          <w:color w:val="262626"/>
          <w:sz w:val="21"/>
          <w:szCs w:val="21"/>
        </w:rPr>
        <w:t xml:space="preserve">A seat in a team building towards a 2030 horizon, with a clear line of sight to the leadership team.</w:t>
      </w:r>
    </w:p>
    <w:p>
      <w:pPr>
        <w:pStyle w:val="ListParagraph"/>
        <w:numPr>
          <w:ilvl w:val="0"/>
          <w:numId w:val="2"/>
        </w:numPr>
        <w:spacing w:after="60" w:line="264"/>
      </w:pPr>
      <w:r>
        <w:rPr>
          <w:rFonts w:ascii="Calibri" w:cs="Calibri" w:eastAsia="Calibri" w:hAnsi="Calibri"/>
          <w:color w:val="262626"/>
          <w:sz w:val="21"/>
          <w:szCs w:val="21"/>
        </w:rPr>
        <w:t xml:space="preserve">Access to our network of founders, professionals, entrepreneurs and investors through Pinnacle's events programme.</w:t>
      </w:r>
    </w:p>
    <w:p>
      <w:pPr>
        <w:pStyle w:val="ListParagraph"/>
        <w:numPr>
          <w:ilvl w:val="0"/>
          <w:numId w:val="2"/>
        </w:numPr>
        <w:spacing w:after="60" w:line="264"/>
      </w:pPr>
      <w:r>
        <w:rPr>
          <w:rFonts w:ascii="Calibri" w:cs="Calibri" w:eastAsia="Calibri" w:hAnsi="Calibri"/>
          <w:color w:val="262626"/>
          <w:sz w:val="21"/>
          <w:szCs w:val="21"/>
        </w:rPr>
        <w:t xml:space="preserve">Training, mentoring and the opportunity to build and lead a team of your own as the organisation grows.</w:t>
      </w:r>
    </w:p>
    <w:p>
      <w:pPr>
        <w:pStyle w:val="ListParagraph"/>
        <w:numPr>
          <w:ilvl w:val="0"/>
          <w:numId w:val="2"/>
        </w:numPr>
        <w:spacing w:after="60" w:line="264"/>
      </w:pPr>
      <w:r>
        <w:rPr>
          <w:rFonts w:ascii="Calibri" w:cs="Calibri" w:eastAsia="Calibri" w:hAnsi="Calibri"/>
          <w:color w:val="262626"/>
          <w:sz w:val="21"/>
          <w:szCs w:val="21"/>
        </w:rPr>
        <w:t xml:space="preserve">The reward of building something in your city that will outlast all of us.</w:t>
      </w:r>
    </w:p>
    <w:p>
      <w:pPr>
        <w:spacing w:before="260"/>
      </w:pPr>
    </w:p>
    <w:p>
      <w:pPr>
        <w:spacing w:after="100" w:line="264"/>
      </w:pPr>
      <w:r>
        <w:rPr>
          <w:rFonts w:ascii="Calibri" w:cs="Calibri" w:eastAsia="Calibri" w:hAnsi="Calibri"/>
          <w:i/>
          <w:iCs/>
          <w:color w:val="595959"/>
          <w:sz w:val="19"/>
          <w:szCs w:val="19"/>
        </w:rPr>
        <w:t xml:space="preserve">Please note: this is currently a volunteer position. Reasonable expenses for travel, equipment and refreshments are reimbursed in line with our Expenses Policy. As Pinnacle grows and funding allows, we expect several senior roles to move to paid positions, and volunteers already in post will be considered first.</w:t>
      </w:r>
    </w:p>
    <w:sectPr>
      <w:pgSz w:w="11906" w:h="16838" w:orient="portrait"/>
      <w:pgMar w:top="1100" w:right="1180" w:bottom="110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rPr>
        <w:color w:val="14625B"/>
        <w:sz w:val="16"/>
        <w:szCs w:val="16"/>
      </w:rPr>
    </w:lvl>
    <w:lvl w:ilvl="1" w15:tentative="1">
      <w:start w:val="1"/>
      <w:numFmt w:val="bullet"/>
      <w:lvlText w:val="○"/>
      <w:lvlJc w:val="left"/>
      <w:pPr>
        <w:ind w:left="936" w:hanging="288"/>
      </w:pPr>
      <w:rPr>
        <w:color w:val="14625B"/>
        <w:sz w:val="16"/>
        <w:szCs w:val="16"/>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name="compatibilityMode" w:uri="http://schemas.microsoft.com/office/word" w:val="15"/>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