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712C" w:rsidRDefault="00000000">
      <w:pPr>
        <w:spacing w:after="160"/>
      </w:pPr>
      <w:r>
        <w:rPr>
          <w:rFonts w:ascii="Calibri" w:eastAsia="Calibri" w:hAnsi="Calibri" w:cs="Calibri"/>
          <w:b/>
          <w:bCs/>
          <w:color w:val="14625B"/>
          <w:sz w:val="30"/>
          <w:szCs w:val="30"/>
        </w:rPr>
        <w:t>The Pinnacle Centre</w:t>
      </w:r>
    </w:p>
    <w:p w:rsidR="0022712C" w:rsidRDefault="0022712C">
      <w:pPr>
        <w:pBdr>
          <w:bottom w:val="single" w:sz="8" w:space="1" w:color="14625B"/>
        </w:pBdr>
        <w:spacing w:before="120" w:after="200"/>
      </w:pP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600"/>
        <w:gridCol w:w="6400"/>
      </w:tblGrid>
      <w:tr w:rsidR="0022712C">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Role Title:</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Fundraising Lead</w:t>
            </w:r>
          </w:p>
        </w:tc>
      </w:tr>
      <w:tr w:rsidR="0022712C">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Department: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Fundraising</w:t>
            </w:r>
          </w:p>
        </w:tc>
      </w:tr>
      <w:tr w:rsidR="0022712C">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Location:</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UK, remote — with regular presence in Birmingham</w:t>
            </w:r>
          </w:p>
        </w:tc>
      </w:tr>
      <w:tr w:rsidR="0022712C">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Reporting to:</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Chief Finance Officer</w:t>
            </w:r>
          </w:p>
        </w:tc>
      </w:tr>
      <w:tr w:rsidR="0022712C">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Commitment: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22712C" w:rsidRDefault="00000000">
            <w:r>
              <w:rPr>
                <w:rFonts w:ascii="Calibri" w:eastAsia="Calibri" w:hAnsi="Calibri" w:cs="Calibri"/>
                <w:b/>
                <w:bCs/>
                <w:color w:val="14625B"/>
                <w:sz w:val="21"/>
                <w:szCs w:val="21"/>
              </w:rPr>
              <w:t>6–8 hours per week, on average</w:t>
            </w:r>
          </w:p>
        </w:tc>
      </w:tr>
    </w:tbl>
    <w:p w:rsidR="0022712C" w:rsidRDefault="0022712C">
      <w:pPr>
        <w:pBdr>
          <w:bottom w:val="single" w:sz="8" w:space="1" w:color="14625B"/>
        </w:pBdr>
        <w:spacing w:before="120" w:after="200"/>
      </w:pPr>
    </w:p>
    <w:p w:rsidR="0022712C" w:rsidRDefault="00000000">
      <w:pPr>
        <w:spacing w:before="280" w:after="100"/>
      </w:pPr>
      <w:r>
        <w:rPr>
          <w:rFonts w:ascii="Calibri" w:eastAsia="Calibri" w:hAnsi="Calibri" w:cs="Calibri"/>
          <w:b/>
          <w:bCs/>
          <w:color w:val="14625B"/>
          <w:sz w:val="26"/>
          <w:szCs w:val="26"/>
        </w:rPr>
        <w:t>About The Pinnacle Centre</w:t>
      </w:r>
    </w:p>
    <w:p w:rsidR="0022712C" w:rsidRDefault="00000000">
      <w:pPr>
        <w:spacing w:after="140" w:line="276" w:lineRule="auto"/>
      </w:pPr>
      <w:r>
        <w:rPr>
          <w:rFonts w:ascii="Calibri" w:eastAsia="Calibri" w:hAnsi="Calibri" w:cs="Calibri"/>
          <w:color w:val="262626"/>
          <w:sz w:val="21"/>
          <w:szCs w:val="21"/>
        </w:rPr>
        <w:t>The Pinnacle Centre is a third space in Birmingham helping young adults grow holistically. We work across three domains: personal development, sports and wellbeing, and community and belonging.</w:t>
      </w:r>
    </w:p>
    <w:p w:rsidR="0022712C" w:rsidRDefault="00000000">
      <w:pPr>
        <w:spacing w:after="140" w:line="276" w:lineRule="auto"/>
      </w:pPr>
      <w:r>
        <w:rPr>
          <w:rFonts w:ascii="Calibri" w:eastAsia="Calibri" w:hAnsi="Calibri" w:cs="Calibri"/>
          <w:color w:val="262626"/>
          <w:sz w:val="21"/>
          <w:szCs w:val="21"/>
        </w:rPr>
        <w:t>Vision 2030 is where that work is heading. We're building a multi-purpose centre in Birmingham — sports facilities, co-working space, an auditorium and a café — designed as a home for young adults to train, work, learn and gather.</w:t>
      </w:r>
    </w:p>
    <w:p w:rsidR="0022712C" w:rsidRDefault="00000000">
      <w:pPr>
        <w:spacing w:before="280" w:after="100"/>
      </w:pPr>
      <w:r>
        <w:rPr>
          <w:rFonts w:ascii="Calibri" w:eastAsia="Calibri" w:hAnsi="Calibri" w:cs="Calibri"/>
          <w:b/>
          <w:bCs/>
          <w:color w:val="14625B"/>
          <w:sz w:val="26"/>
          <w:szCs w:val="26"/>
        </w:rPr>
        <w:t>Role Summary</w:t>
      </w:r>
    </w:p>
    <w:p w:rsidR="0022712C" w:rsidRDefault="00000000">
      <w:pPr>
        <w:spacing w:after="140" w:line="276" w:lineRule="auto"/>
      </w:pPr>
      <w:r>
        <w:rPr>
          <w:rFonts w:ascii="Calibri" w:eastAsia="Calibri" w:hAnsi="Calibri" w:cs="Calibri"/>
          <w:color w:val="262626"/>
          <w:sz w:val="21"/>
          <w:szCs w:val="21"/>
        </w:rPr>
        <w:t>You own how money comes into Pinnacle. Grants, corporate sponsorship, community giving and donor relationships all sit with you, and your job is to make them add up to an income that is diversified enough to survive one of them failing — while laying the groundwork for the campaign that funds Vision 2030. Finance manages what we spend; you determine what there is to spend.</w:t>
      </w:r>
    </w:p>
    <w:p w:rsidR="0022712C" w:rsidRDefault="00000000">
      <w:pPr>
        <w:spacing w:before="280" w:after="100"/>
      </w:pPr>
      <w:r>
        <w:rPr>
          <w:rFonts w:ascii="Calibri" w:eastAsia="Calibri" w:hAnsi="Calibri" w:cs="Calibri"/>
          <w:b/>
          <w:bCs/>
          <w:color w:val="14625B"/>
          <w:sz w:val="26"/>
          <w:szCs w:val="26"/>
        </w:rPr>
        <w:t>Key tasks</w:t>
      </w:r>
    </w:p>
    <w:p w:rsidR="0022712C" w:rsidRDefault="00000000">
      <w:pPr>
        <w:spacing w:before="160" w:after="60"/>
        <w:ind w:left="288"/>
      </w:pPr>
      <w:r>
        <w:rPr>
          <w:rFonts w:ascii="Calibri" w:eastAsia="Calibri" w:hAnsi="Calibri" w:cs="Calibri"/>
          <w:b/>
          <w:bCs/>
          <w:color w:val="262626"/>
          <w:sz w:val="21"/>
          <w:szCs w:val="21"/>
        </w:rPr>
        <w:t>1.  Strategy &amp; pipeline</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Own the annual fundraising plan with clear targets by income stream, agreed with the CFO.</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Maintain a live pipeline of funders, sponsors and donors with deadlines, values and likelihood.</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Balance the portfolio so that no single funder or channel is a point of failure.</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Sequence effort towards the Vision 2030 capital requirement rather than only this year's costs.</w:t>
      </w:r>
    </w:p>
    <w:p w:rsidR="0022712C" w:rsidRDefault="00621F7D">
      <w:pPr>
        <w:spacing w:before="160" w:after="60"/>
        <w:ind w:left="288"/>
      </w:pPr>
      <w:r>
        <w:rPr>
          <w:rFonts w:ascii="Calibri" w:eastAsia="Calibri" w:hAnsi="Calibri" w:cs="Calibri"/>
          <w:b/>
          <w:bCs/>
          <w:color w:val="262626"/>
          <w:sz w:val="21"/>
          <w:szCs w:val="21"/>
        </w:rPr>
        <w:t xml:space="preserve">2. </w:t>
      </w:r>
      <w:r w:rsidR="00000000">
        <w:rPr>
          <w:rFonts w:ascii="Calibri" w:eastAsia="Calibri" w:hAnsi="Calibri" w:cs="Calibri"/>
          <w:b/>
          <w:bCs/>
          <w:color w:val="262626"/>
          <w:sz w:val="21"/>
          <w:szCs w:val="21"/>
        </w:rPr>
        <w:t xml:space="preserve"> Community &amp; digital giving</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Design and run giving campaigns, including seasonal appeals and sponsored challenges.</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Own our giving platforms, donation pages and Gift Aid processing.</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Build a regular giving programme and reduce lapse rates through timely, human communication.</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Set the ask and the case; work with Marketing, who own the channels and audience.</w:t>
      </w:r>
    </w:p>
    <w:p w:rsidR="0022712C" w:rsidRDefault="00621F7D">
      <w:pPr>
        <w:spacing w:before="160" w:after="60"/>
        <w:ind w:left="288"/>
      </w:pPr>
      <w:r>
        <w:rPr>
          <w:rFonts w:ascii="Calibri" w:eastAsia="Calibri" w:hAnsi="Calibri" w:cs="Calibri"/>
          <w:b/>
          <w:bCs/>
          <w:color w:val="262626"/>
          <w:sz w:val="21"/>
          <w:szCs w:val="21"/>
        </w:rPr>
        <w:t xml:space="preserve">3. </w:t>
      </w:r>
      <w:r w:rsidR="00000000">
        <w:rPr>
          <w:rFonts w:ascii="Calibri" w:eastAsia="Calibri" w:hAnsi="Calibri" w:cs="Calibri"/>
          <w:b/>
          <w:bCs/>
          <w:color w:val="262626"/>
          <w:sz w:val="21"/>
          <w:szCs w:val="21"/>
        </w:rPr>
        <w:t xml:space="preserve"> Donor care, compliance &amp; reporting</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Ensure every donation is acknowledged promptly and that donors hear what their money changed.</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Maintain an accurate donor record with consent and preferences, compliant with GDPR.</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Ensure all fundraising meets Fundraising Regulator standards.</w:t>
      </w:r>
    </w:p>
    <w:p w:rsidR="0022712C" w:rsidRDefault="00000000">
      <w:pPr>
        <w:pStyle w:val="ListParagraph"/>
        <w:numPr>
          <w:ilvl w:val="1"/>
          <w:numId w:val="2"/>
        </w:numPr>
        <w:spacing w:after="60" w:line="264" w:lineRule="auto"/>
      </w:pPr>
      <w:r>
        <w:rPr>
          <w:rFonts w:ascii="Calibri" w:eastAsia="Calibri" w:hAnsi="Calibri" w:cs="Calibri"/>
          <w:color w:val="262626"/>
          <w:sz w:val="21"/>
          <w:szCs w:val="21"/>
        </w:rPr>
        <w:t>Report income against target to the CFO monthly, with an honest read on the pipeline.</w:t>
      </w:r>
    </w:p>
    <w:p w:rsidR="0022712C" w:rsidRDefault="00000000">
      <w:pPr>
        <w:spacing w:before="280" w:after="100"/>
      </w:pPr>
      <w:r>
        <w:rPr>
          <w:rFonts w:ascii="Calibri" w:eastAsia="Calibri" w:hAnsi="Calibri" w:cs="Calibri"/>
          <w:b/>
          <w:bCs/>
          <w:color w:val="14625B"/>
          <w:sz w:val="26"/>
          <w:szCs w:val="26"/>
        </w:rPr>
        <w:t>What we're looking for</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 xml:space="preserve">A track record of raising money —community fundraising or </w:t>
      </w:r>
      <w:r w:rsidR="00621F7D">
        <w:rPr>
          <w:rFonts w:ascii="Calibri" w:eastAsia="Calibri" w:hAnsi="Calibri" w:cs="Calibri"/>
          <w:color w:val="262626"/>
          <w:sz w:val="21"/>
          <w:szCs w:val="21"/>
        </w:rPr>
        <w:t>High</w:t>
      </w:r>
      <w:r>
        <w:rPr>
          <w:rFonts w:ascii="Calibri" w:eastAsia="Calibri" w:hAnsi="Calibri" w:cs="Calibri"/>
          <w:color w:val="262626"/>
          <w:sz w:val="21"/>
          <w:szCs w:val="21"/>
        </w:rPr>
        <w:t xml:space="preserve"> </w:t>
      </w:r>
      <w:r w:rsidR="00621F7D">
        <w:rPr>
          <w:rFonts w:ascii="Calibri" w:eastAsia="Calibri" w:hAnsi="Calibri" w:cs="Calibri"/>
          <w:color w:val="262626"/>
          <w:sz w:val="21"/>
          <w:szCs w:val="21"/>
        </w:rPr>
        <w:t>net worth</w:t>
      </w:r>
      <w:r>
        <w:rPr>
          <w:rFonts w:ascii="Calibri" w:eastAsia="Calibri" w:hAnsi="Calibri" w:cs="Calibri"/>
          <w:color w:val="262626"/>
          <w:sz w:val="21"/>
          <w:szCs w:val="21"/>
        </w:rPr>
        <w:t>.</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Excellent written English; you can make a case that persuades a stranger to fund it.</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lastRenderedPageBreak/>
        <w:t>Comfortable with targets, pipelines and being measured against them.</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You understand the difference between an ask and a relationship, and know when each is appropriate.</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Organised enough to run several income streams without dropping the reporting on any of them.</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Experience of a capital appeal or major campaign (desirable).</w:t>
      </w:r>
    </w:p>
    <w:p w:rsidR="0022712C" w:rsidRDefault="00000000">
      <w:pPr>
        <w:spacing w:before="280" w:after="100"/>
      </w:pPr>
      <w:r>
        <w:rPr>
          <w:rFonts w:ascii="Calibri" w:eastAsia="Calibri" w:hAnsi="Calibri" w:cs="Calibri"/>
          <w:b/>
          <w:bCs/>
          <w:color w:val="14625B"/>
          <w:sz w:val="26"/>
          <w:szCs w:val="26"/>
        </w:rPr>
        <w:t>What we have to offer</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Real ownership of a function, not a task list — you will shape how it works, not just execute someone else's plan.</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A seat in a team building towards a 2030 horizon, with a clear line of sight to the leadership team.</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Access to our network of founders, professionals, entrepreneurs and investors through Pinnacle's events programme.</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Training, mentoring and the opportunity to build and lead a team of your own as the organisation grows.</w:t>
      </w:r>
    </w:p>
    <w:p w:rsidR="0022712C" w:rsidRDefault="00000000">
      <w:pPr>
        <w:pStyle w:val="ListParagraph"/>
        <w:numPr>
          <w:ilvl w:val="0"/>
          <w:numId w:val="2"/>
        </w:numPr>
        <w:spacing w:after="60" w:line="264" w:lineRule="auto"/>
      </w:pPr>
      <w:r>
        <w:rPr>
          <w:rFonts w:ascii="Calibri" w:eastAsia="Calibri" w:hAnsi="Calibri" w:cs="Calibri"/>
          <w:color w:val="262626"/>
          <w:sz w:val="21"/>
          <w:szCs w:val="21"/>
        </w:rPr>
        <w:t>The reward of building something in your city that will outlast all of us.</w:t>
      </w:r>
    </w:p>
    <w:p w:rsidR="0022712C" w:rsidRDefault="0022712C">
      <w:pPr>
        <w:spacing w:before="260"/>
      </w:pPr>
    </w:p>
    <w:p w:rsidR="0022712C" w:rsidRDefault="00000000">
      <w:pPr>
        <w:spacing w:after="100" w:line="264" w:lineRule="auto"/>
      </w:pPr>
      <w:r>
        <w:rPr>
          <w:rFonts w:ascii="Calibri" w:eastAsia="Calibri" w:hAnsi="Calibri" w:cs="Calibri"/>
          <w:i/>
          <w:iCs/>
          <w:color w:val="595959"/>
          <w:sz w:val="19"/>
          <w:szCs w:val="19"/>
        </w:rPr>
        <w:t>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rsidR="0022712C">
      <w:pgSz w:w="11906" w:h="16838"/>
      <w:pgMar w:top="1100" w:right="1180" w:bottom="1100" w:left="11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B81"/>
    <w:multiLevelType w:val="hybridMultilevel"/>
    <w:tmpl w:val="EDAEAA62"/>
    <w:lvl w:ilvl="0" w:tplc="E2CAEA0E">
      <w:start w:val="1"/>
      <w:numFmt w:val="bullet"/>
      <w:lvlText w:val="●"/>
      <w:lvlJc w:val="left"/>
      <w:pPr>
        <w:ind w:left="504" w:hanging="288"/>
      </w:pPr>
      <w:rPr>
        <w:color w:val="14625B"/>
        <w:sz w:val="16"/>
        <w:szCs w:val="16"/>
      </w:rPr>
    </w:lvl>
    <w:lvl w:ilvl="1" w:tplc="9E7EF89E">
      <w:start w:val="1"/>
      <w:numFmt w:val="bullet"/>
      <w:lvlText w:val="○"/>
      <w:lvlJc w:val="left"/>
      <w:pPr>
        <w:ind w:left="936" w:hanging="288"/>
      </w:pPr>
      <w:rPr>
        <w:color w:val="14625B"/>
        <w:sz w:val="16"/>
        <w:szCs w:val="16"/>
      </w:rPr>
    </w:lvl>
    <w:lvl w:ilvl="2" w:tplc="786AE592">
      <w:numFmt w:val="decimal"/>
      <w:lvlText w:val=""/>
      <w:lvlJc w:val="left"/>
    </w:lvl>
    <w:lvl w:ilvl="3" w:tplc="9D228B82">
      <w:numFmt w:val="decimal"/>
      <w:lvlText w:val=""/>
      <w:lvlJc w:val="left"/>
    </w:lvl>
    <w:lvl w:ilvl="4" w:tplc="A0AA0B9E">
      <w:numFmt w:val="decimal"/>
      <w:lvlText w:val=""/>
      <w:lvlJc w:val="left"/>
    </w:lvl>
    <w:lvl w:ilvl="5" w:tplc="20665F00">
      <w:numFmt w:val="decimal"/>
      <w:lvlText w:val=""/>
      <w:lvlJc w:val="left"/>
    </w:lvl>
    <w:lvl w:ilvl="6" w:tplc="DEBEC300">
      <w:numFmt w:val="decimal"/>
      <w:lvlText w:val=""/>
      <w:lvlJc w:val="left"/>
    </w:lvl>
    <w:lvl w:ilvl="7" w:tplc="7A1621D4">
      <w:numFmt w:val="decimal"/>
      <w:lvlText w:val=""/>
      <w:lvlJc w:val="left"/>
    </w:lvl>
    <w:lvl w:ilvl="8" w:tplc="4342A27C">
      <w:numFmt w:val="decimal"/>
      <w:lvlText w:val=""/>
      <w:lvlJc w:val="left"/>
    </w:lvl>
  </w:abstractNum>
  <w:abstractNum w:abstractNumId="1" w15:restartNumberingAfterBreak="0">
    <w:nsid w:val="71337391"/>
    <w:multiLevelType w:val="hybridMultilevel"/>
    <w:tmpl w:val="C07E2EA2"/>
    <w:lvl w:ilvl="0" w:tplc="85FCAFAE">
      <w:start w:val="1"/>
      <w:numFmt w:val="bullet"/>
      <w:lvlText w:val="●"/>
      <w:lvlJc w:val="left"/>
      <w:pPr>
        <w:ind w:left="720" w:hanging="360"/>
      </w:pPr>
    </w:lvl>
    <w:lvl w:ilvl="1" w:tplc="1C823182">
      <w:start w:val="1"/>
      <w:numFmt w:val="bullet"/>
      <w:lvlText w:val="○"/>
      <w:lvlJc w:val="left"/>
      <w:pPr>
        <w:ind w:left="1440" w:hanging="360"/>
      </w:pPr>
    </w:lvl>
    <w:lvl w:ilvl="2" w:tplc="987650C8">
      <w:start w:val="1"/>
      <w:numFmt w:val="bullet"/>
      <w:lvlText w:val="■"/>
      <w:lvlJc w:val="left"/>
      <w:pPr>
        <w:ind w:left="2160" w:hanging="360"/>
      </w:pPr>
    </w:lvl>
    <w:lvl w:ilvl="3" w:tplc="81565B28">
      <w:start w:val="1"/>
      <w:numFmt w:val="bullet"/>
      <w:lvlText w:val="●"/>
      <w:lvlJc w:val="left"/>
      <w:pPr>
        <w:ind w:left="2880" w:hanging="360"/>
      </w:pPr>
    </w:lvl>
    <w:lvl w:ilvl="4" w:tplc="93409A3E">
      <w:start w:val="1"/>
      <w:numFmt w:val="bullet"/>
      <w:lvlText w:val="○"/>
      <w:lvlJc w:val="left"/>
      <w:pPr>
        <w:ind w:left="3600" w:hanging="360"/>
      </w:pPr>
    </w:lvl>
    <w:lvl w:ilvl="5" w:tplc="C548D05A">
      <w:start w:val="1"/>
      <w:numFmt w:val="bullet"/>
      <w:lvlText w:val="■"/>
      <w:lvlJc w:val="left"/>
      <w:pPr>
        <w:ind w:left="4320" w:hanging="360"/>
      </w:pPr>
    </w:lvl>
    <w:lvl w:ilvl="6" w:tplc="A59AAE44">
      <w:start w:val="1"/>
      <w:numFmt w:val="bullet"/>
      <w:lvlText w:val="●"/>
      <w:lvlJc w:val="left"/>
      <w:pPr>
        <w:ind w:left="5040" w:hanging="360"/>
      </w:pPr>
    </w:lvl>
    <w:lvl w:ilvl="7" w:tplc="FB6621B0">
      <w:start w:val="1"/>
      <w:numFmt w:val="bullet"/>
      <w:lvlText w:val="●"/>
      <w:lvlJc w:val="left"/>
      <w:pPr>
        <w:ind w:left="5760" w:hanging="360"/>
      </w:pPr>
    </w:lvl>
    <w:lvl w:ilvl="8" w:tplc="A91AC19A">
      <w:start w:val="1"/>
      <w:numFmt w:val="bullet"/>
      <w:lvlText w:val="●"/>
      <w:lvlJc w:val="left"/>
      <w:pPr>
        <w:ind w:left="6480" w:hanging="360"/>
      </w:pPr>
    </w:lvl>
  </w:abstractNum>
  <w:num w:numId="1" w16cid:durableId="1535849593">
    <w:abstractNumId w:val="1"/>
    <w:lvlOverride w:ilvl="0">
      <w:startOverride w:val="1"/>
    </w:lvlOverride>
  </w:num>
  <w:num w:numId="2" w16cid:durableId="18143687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F9E414B"/>
  <w15:docId w15:val="{63C6B36C-9E41-A344-89FE-3410C000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