
<file path=[Content_Types].xml><?xml version="1.0" encoding="utf-8"?>
<Types xmlns="http://schemas.openxmlformats.org/package/2006/content-types">
  <Default Extension="png" ContentType="image/png"/>
  <Default Extension="jpeg" ContentType="image/jpeg"/>
  <Default Extension="jpg" ContentType="image/jpeg"/>
  <Default Extension="bmp" ContentType="image/bmp"/>
  <Default Extension="gif" ContentType="image/gif"/>
  <Default Extension="svg" ContentType="image/svg+xml"/>
  <Default Extension="rels" ContentType="application/vnd.openxmlformats-package.relationships+xml"/>
  <Default Extension="xml" ContentType="application/xml"/>
  <Default Extension="odttf" ContentType="application/vnd.openxmlformats-officedocument.obfuscatedFont"/>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footnotes.xml" ContentType="application/vnd.openxmlformats-officedocument.wordprocessingml.footnotes+xml"/>
  <Override PartName="/word/endnotes.xml" ContentType="application/vnd.openxmlformats-officedocument.wordprocessingml.endnotes+xml"/>
  <Override PartName="/word/settings.xml" ContentType="application/vnd.openxmlformats-officedocument.wordprocessingml.settings+xml"/>
  <Override PartName="/word/comments.xml" ContentType="application/vnd.openxmlformats-officedocument.wordprocessingml.comments+xml"/>
  <Override PartName="/word/fontTable.xml" ContentType="application/vnd.openxmlformats-officedocument.wordprocessingml.fontTable+xml"/>
</Types>
</file>

<file path=_rels/.rels>&#65279;<?xml version="1.0" encoding="utf-8"?><Relationships xmlns="http://schemas.openxmlformats.org/package/2006/relationships"><Relationship Type="http://schemas.openxmlformats.org/officeDocument/2006/relationships/officeDocument" Target="word/document.xml" Id="rId1"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spacing w:after="160"/>
      </w:pPr>
      <w:r>
        <w:rPr>
          <w:rFonts w:ascii="Calibri" w:cs="Calibri" w:eastAsia="Calibri" w:hAnsi="Calibri"/>
          <w:b/>
          <w:bCs/>
          <w:color w:val="14625B"/>
          <w:sz w:val="30"/>
          <w:szCs w:val="30"/>
        </w:rPr>
        <w:t xml:space="preserve">The Pinnacle Centre</w:t>
      </w:r>
    </w:p>
    <w:p>
      <w:pPr>
        <w:pBdr>
          <w:bottom w:val="single" w:color="14625B" w:sz="8" w:space="1"/>
        </w:pBdr>
        <w:spacing w:after="200" w:before="120"/>
      </w:pPr>
      <w:r>
        <w:rPr>
          <w:sz w:val="2"/>
          <w:szCs w:val="2"/>
        </w:rPr>
        <w:t xml:space="preserve"/>
      </w:r>
    </w:p>
    <w:tbl>
      <w:tblPr>
        <w:tblW w:type="dxa" w:w="9000"/>
        <w:tblBorders>
          <w:top w:val="none" w:color="FFFFFF" w:sz="0"/>
          <w:left w:val="none" w:color="FFFFFF" w:sz="0"/>
          <w:bottom w:val="none" w:color="FFFFFF" w:sz="0"/>
          <w:right w:val="none" w:color="FFFFFF" w:sz="0"/>
          <w:insideH w:val="none" w:color="FFFFFF" w:sz="0"/>
          <w:insideV w:val="none" w:color="FFFFFF" w:sz="0"/>
        </w:tblBorders>
      </w:tblPr>
      <w:tblGrid>
        <w:gridCol w:w="2600"/>
        <w:gridCol w:w="6400"/>
      </w:tblGrid>
      <w:tr>
        <w:tc>
          <w:tcPr>
            <w:tcW w:type="dxa" w:w="2600"/>
            <w:tcBorders>
              <w:top w:val="none" w:color="FFFFFF" w:sz="0"/>
              <w:left w:val="none" w:color="FFFFFF" w:sz="0"/>
              <w:bottom w:val="none" w:color="FFFFFF" w:sz="0"/>
              <w:right w:val="none" w:color="FFFFFF" w:sz="0"/>
            </w:tcBorders>
            <w:tcMar>
              <w:top w:type="dxa" w:w="40"/>
              <w:left w:type="dxa" w:w="0"/>
              <w:bottom w:type="dxa" w:w="40"/>
              <w:right w:type="dxa" w:w="60"/>
            </w:tcMar>
          </w:tcPr>
          <w:p>
            <w:r>
              <w:rPr>
                <w:rFonts w:ascii="Calibri" w:cs="Calibri" w:eastAsia="Calibri" w:hAnsi="Calibri"/>
                <w:b/>
                <w:bCs/>
                <w:color w:val="14625B"/>
                <w:sz w:val="21"/>
                <w:szCs w:val="21"/>
              </w:rPr>
              <w:t xml:space="preserve">Role Title:</w:t>
            </w:r>
          </w:p>
        </w:tc>
        <w:tc>
          <w:tcPr>
            <w:tcW w:type="dxa" w:w="6400"/>
            <w:tcBorders>
              <w:top w:val="none" w:color="FFFFFF" w:sz="0"/>
              <w:left w:val="none" w:color="FFFFFF" w:sz="0"/>
              <w:bottom w:val="none" w:color="FFFFFF" w:sz="0"/>
              <w:right w:val="none" w:color="FFFFFF" w:sz="0"/>
            </w:tcBorders>
            <w:tcMar>
              <w:top w:type="dxa" w:w="40"/>
              <w:left w:type="dxa" w:w="0"/>
              <w:bottom w:type="dxa" w:w="40"/>
              <w:right w:type="dxa" w:w="60"/>
            </w:tcMar>
          </w:tcPr>
          <w:p>
            <w:r>
              <w:rPr>
                <w:rFonts w:ascii="Calibri" w:cs="Calibri" w:eastAsia="Calibri" w:hAnsi="Calibri"/>
                <w:b/>
                <w:bCs/>
                <w:color w:val="14625B"/>
                <w:sz w:val="21"/>
                <w:szCs w:val="21"/>
              </w:rPr>
              <w:t xml:space="preserve">Finance Lead</w:t>
            </w:r>
          </w:p>
        </w:tc>
      </w:tr>
      <w:tr>
        <w:tc>
          <w:tcPr>
            <w:tcW w:type="dxa" w:w="2600"/>
            <w:tcBorders>
              <w:top w:val="none" w:color="FFFFFF" w:sz="0"/>
              <w:left w:val="none" w:color="FFFFFF" w:sz="0"/>
              <w:bottom w:val="none" w:color="FFFFFF" w:sz="0"/>
              <w:right w:val="none" w:color="FFFFFF" w:sz="0"/>
            </w:tcBorders>
            <w:tcMar>
              <w:top w:type="dxa" w:w="40"/>
              <w:left w:type="dxa" w:w="0"/>
              <w:bottom w:type="dxa" w:w="40"/>
              <w:right w:type="dxa" w:w="60"/>
            </w:tcMar>
          </w:tcPr>
          <w:p>
            <w:r>
              <w:rPr>
                <w:rFonts w:ascii="Calibri" w:cs="Calibri" w:eastAsia="Calibri" w:hAnsi="Calibri"/>
                <w:b/>
                <w:bCs/>
                <w:color w:val="14625B"/>
                <w:sz w:val="21"/>
                <w:szCs w:val="21"/>
              </w:rPr>
              <w:t xml:space="preserve">Department:</w:t>
            </w:r>
          </w:p>
        </w:tc>
        <w:tc>
          <w:tcPr>
            <w:tcW w:type="dxa" w:w="6400"/>
            <w:tcBorders>
              <w:top w:val="none" w:color="FFFFFF" w:sz="0"/>
              <w:left w:val="none" w:color="FFFFFF" w:sz="0"/>
              <w:bottom w:val="none" w:color="FFFFFF" w:sz="0"/>
              <w:right w:val="none" w:color="FFFFFF" w:sz="0"/>
            </w:tcBorders>
            <w:tcMar>
              <w:top w:type="dxa" w:w="40"/>
              <w:left w:type="dxa" w:w="0"/>
              <w:bottom w:type="dxa" w:w="40"/>
              <w:right w:type="dxa" w:w="60"/>
            </w:tcMar>
          </w:tcPr>
          <w:p>
            <w:r>
              <w:rPr>
                <w:rFonts w:ascii="Calibri" w:cs="Calibri" w:eastAsia="Calibri" w:hAnsi="Calibri"/>
                <w:b/>
                <w:bCs/>
                <w:color w:val="14625B"/>
                <w:sz w:val="21"/>
                <w:szCs w:val="21"/>
              </w:rPr>
              <w:t xml:space="preserve">Finance</w:t>
            </w:r>
          </w:p>
        </w:tc>
      </w:tr>
      <w:tr>
        <w:tc>
          <w:tcPr>
            <w:tcW w:type="dxa" w:w="2600"/>
            <w:tcBorders>
              <w:top w:val="none" w:color="FFFFFF" w:sz="0"/>
              <w:left w:val="none" w:color="FFFFFF" w:sz="0"/>
              <w:bottom w:val="none" w:color="FFFFFF" w:sz="0"/>
              <w:right w:val="none" w:color="FFFFFF" w:sz="0"/>
            </w:tcBorders>
            <w:tcMar>
              <w:top w:type="dxa" w:w="40"/>
              <w:left w:type="dxa" w:w="0"/>
              <w:bottom w:type="dxa" w:w="40"/>
              <w:right w:type="dxa" w:w="60"/>
            </w:tcMar>
          </w:tcPr>
          <w:p>
            <w:r>
              <w:rPr>
                <w:rFonts w:ascii="Calibri" w:cs="Calibri" w:eastAsia="Calibri" w:hAnsi="Calibri"/>
                <w:b/>
                <w:bCs/>
                <w:color w:val="14625B"/>
                <w:sz w:val="21"/>
                <w:szCs w:val="21"/>
              </w:rPr>
              <w:t xml:space="preserve">Location:</w:t>
            </w:r>
          </w:p>
        </w:tc>
        <w:tc>
          <w:tcPr>
            <w:tcW w:type="dxa" w:w="6400"/>
            <w:tcBorders>
              <w:top w:val="none" w:color="FFFFFF" w:sz="0"/>
              <w:left w:val="none" w:color="FFFFFF" w:sz="0"/>
              <w:bottom w:val="none" w:color="FFFFFF" w:sz="0"/>
              <w:right w:val="none" w:color="FFFFFF" w:sz="0"/>
            </w:tcBorders>
            <w:tcMar>
              <w:top w:type="dxa" w:w="40"/>
              <w:left w:type="dxa" w:w="0"/>
              <w:bottom w:type="dxa" w:w="40"/>
              <w:right w:type="dxa" w:w="60"/>
            </w:tcMar>
          </w:tcPr>
          <w:p>
            <w:r>
              <w:rPr>
                <w:rFonts w:ascii="Calibri" w:cs="Calibri" w:eastAsia="Calibri" w:hAnsi="Calibri"/>
                <w:b/>
                <w:bCs/>
                <w:color w:val="14625B"/>
                <w:sz w:val="21"/>
                <w:szCs w:val="21"/>
              </w:rPr>
              <w:t xml:space="preserve">UK, remote</w:t>
            </w:r>
          </w:p>
        </w:tc>
      </w:tr>
      <w:tr>
        <w:tc>
          <w:tcPr>
            <w:tcW w:type="dxa" w:w="2600"/>
            <w:tcBorders>
              <w:top w:val="none" w:color="FFFFFF" w:sz="0"/>
              <w:left w:val="none" w:color="FFFFFF" w:sz="0"/>
              <w:bottom w:val="none" w:color="FFFFFF" w:sz="0"/>
              <w:right w:val="none" w:color="FFFFFF" w:sz="0"/>
            </w:tcBorders>
            <w:tcMar>
              <w:top w:type="dxa" w:w="40"/>
              <w:left w:type="dxa" w:w="0"/>
              <w:bottom w:type="dxa" w:w="40"/>
              <w:right w:type="dxa" w:w="60"/>
            </w:tcMar>
          </w:tcPr>
          <w:p>
            <w:r>
              <w:rPr>
                <w:rFonts w:ascii="Calibri" w:cs="Calibri" w:eastAsia="Calibri" w:hAnsi="Calibri"/>
                <w:b/>
                <w:bCs/>
                <w:color w:val="14625B"/>
                <w:sz w:val="21"/>
                <w:szCs w:val="21"/>
              </w:rPr>
              <w:t xml:space="preserve">Reporting to:</w:t>
            </w:r>
          </w:p>
        </w:tc>
        <w:tc>
          <w:tcPr>
            <w:tcW w:type="dxa" w:w="6400"/>
            <w:tcBorders>
              <w:top w:val="none" w:color="FFFFFF" w:sz="0"/>
              <w:left w:val="none" w:color="FFFFFF" w:sz="0"/>
              <w:bottom w:val="none" w:color="FFFFFF" w:sz="0"/>
              <w:right w:val="none" w:color="FFFFFF" w:sz="0"/>
            </w:tcBorders>
            <w:tcMar>
              <w:top w:type="dxa" w:w="40"/>
              <w:left w:type="dxa" w:w="0"/>
              <w:bottom w:type="dxa" w:w="40"/>
              <w:right w:type="dxa" w:w="60"/>
            </w:tcMar>
          </w:tcPr>
          <w:p>
            <w:r>
              <w:rPr>
                <w:rFonts w:ascii="Calibri" w:cs="Calibri" w:eastAsia="Calibri" w:hAnsi="Calibri"/>
                <w:b/>
                <w:bCs/>
                <w:color w:val="14625B"/>
                <w:sz w:val="21"/>
                <w:szCs w:val="21"/>
              </w:rPr>
              <w:t xml:space="preserve">Chief Finance Officer</w:t>
            </w:r>
          </w:p>
        </w:tc>
      </w:tr>
      <w:tr>
        <w:tc>
          <w:tcPr>
            <w:tcW w:type="dxa" w:w="2600"/>
            <w:tcBorders>
              <w:top w:val="none" w:color="FFFFFF" w:sz="0"/>
              <w:left w:val="none" w:color="FFFFFF" w:sz="0"/>
              <w:bottom w:val="none" w:color="FFFFFF" w:sz="0"/>
              <w:right w:val="none" w:color="FFFFFF" w:sz="0"/>
            </w:tcBorders>
            <w:tcMar>
              <w:top w:type="dxa" w:w="40"/>
              <w:left w:type="dxa" w:w="0"/>
              <w:bottom w:type="dxa" w:w="40"/>
              <w:right w:type="dxa" w:w="60"/>
            </w:tcMar>
          </w:tcPr>
          <w:p>
            <w:r>
              <w:rPr>
                <w:rFonts w:ascii="Calibri" w:cs="Calibri" w:eastAsia="Calibri" w:hAnsi="Calibri"/>
                <w:b/>
                <w:bCs/>
                <w:color w:val="14625B"/>
                <w:sz w:val="21"/>
                <w:szCs w:val="21"/>
              </w:rPr>
              <w:t xml:space="preserve">Commitment:</w:t>
            </w:r>
          </w:p>
        </w:tc>
        <w:tc>
          <w:tcPr>
            <w:tcW w:type="dxa" w:w="6400"/>
            <w:tcBorders>
              <w:top w:val="none" w:color="FFFFFF" w:sz="0"/>
              <w:left w:val="none" w:color="FFFFFF" w:sz="0"/>
              <w:bottom w:val="none" w:color="FFFFFF" w:sz="0"/>
              <w:right w:val="none" w:color="FFFFFF" w:sz="0"/>
            </w:tcBorders>
            <w:tcMar>
              <w:top w:type="dxa" w:w="40"/>
              <w:left w:type="dxa" w:w="0"/>
              <w:bottom w:type="dxa" w:w="40"/>
              <w:right w:type="dxa" w:w="60"/>
            </w:tcMar>
          </w:tcPr>
          <w:p>
            <w:r>
              <w:rPr>
                <w:rFonts w:ascii="Calibri" w:cs="Calibri" w:eastAsia="Calibri" w:hAnsi="Calibri"/>
                <w:b/>
                <w:bCs/>
                <w:color w:val="14625B"/>
                <w:sz w:val="21"/>
                <w:szCs w:val="21"/>
              </w:rPr>
              <w:t xml:space="preserve">5–7 hours per week, on average</w:t>
            </w:r>
          </w:p>
        </w:tc>
      </w:tr>
    </w:tbl>
    <w:p>
      <w:pPr>
        <w:pBdr>
          <w:bottom w:val="single" w:color="14625B" w:sz="8" w:space="1"/>
        </w:pBdr>
        <w:spacing w:after="200" w:before="120"/>
      </w:pPr>
      <w:r>
        <w:rPr>
          <w:sz w:val="2"/>
          <w:szCs w:val="2"/>
        </w:rPr>
        <w:t xml:space="preserve"/>
      </w:r>
    </w:p>
    <w:p>
      <w:pPr>
        <w:spacing w:after="100" w:before="280"/>
      </w:pPr>
      <w:r>
        <w:rPr>
          <w:rFonts w:ascii="Calibri" w:cs="Calibri" w:eastAsia="Calibri" w:hAnsi="Calibri"/>
          <w:b/>
          <w:bCs/>
          <w:color w:val="14625B"/>
          <w:sz w:val="26"/>
          <w:szCs w:val="26"/>
        </w:rPr>
        <w:t xml:space="preserve">About The Pinnacle Centre</w:t>
      </w:r>
    </w:p>
    <w:p>
      <w:pPr>
        <w:spacing w:after="140" w:line="276"/>
      </w:pPr>
      <w:r>
        <w:rPr>
          <w:rFonts w:ascii="Calibri" w:cs="Calibri" w:eastAsia="Calibri" w:hAnsi="Calibri"/>
          <w:i w:val="false"/>
          <w:iCs w:val="false"/>
          <w:color w:val="262626"/>
          <w:sz w:val="21"/>
          <w:szCs w:val="21"/>
        </w:rPr>
        <w:t xml:space="preserve">The Pinnacle Centre is a third space in Birmingham helping young adults grow holistically. We work across three domains: personal development, sports and wellbeing, and community and belonging.</w:t>
      </w:r>
    </w:p>
    <w:p>
      <w:pPr>
        <w:spacing w:after="140" w:line="276"/>
      </w:pPr>
      <w:r>
        <w:rPr>
          <w:rFonts w:ascii="Calibri" w:cs="Calibri" w:eastAsia="Calibri" w:hAnsi="Calibri"/>
          <w:i w:val="false"/>
          <w:iCs w:val="false"/>
          <w:color w:val="262626"/>
          <w:sz w:val="21"/>
          <w:szCs w:val="21"/>
        </w:rPr>
        <w:t xml:space="preserve">Vision 2030 is where that work is heading. We're building a multi-purpose centre in Birmingham — sports facilities, co-working space, an auditorium and a café — designed as a home for young adults to train, work, learn and gather.</w:t>
      </w:r>
    </w:p>
    <w:p>
      <w:pPr>
        <w:spacing w:after="100" w:before="280"/>
      </w:pPr>
      <w:r>
        <w:rPr>
          <w:rFonts w:ascii="Calibri" w:cs="Calibri" w:eastAsia="Calibri" w:hAnsi="Calibri"/>
          <w:b/>
          <w:bCs/>
          <w:color w:val="14625B"/>
          <w:sz w:val="26"/>
          <w:szCs w:val="26"/>
        </w:rPr>
        <w:t xml:space="preserve">Role Summary</w:t>
      </w:r>
    </w:p>
    <w:p>
      <w:pPr>
        <w:spacing w:after="140" w:line="276"/>
      </w:pPr>
      <w:r>
        <w:rPr>
          <w:rFonts w:ascii="Calibri" w:cs="Calibri" w:eastAsia="Calibri" w:hAnsi="Calibri"/>
          <w:i w:val="false"/>
          <w:iCs w:val="false"/>
          <w:color w:val="262626"/>
          <w:sz w:val="21"/>
          <w:szCs w:val="21"/>
        </w:rPr>
        <w:t xml:space="preserve">You run Pinnacle's finance function day to day: accurate books, timely reporting, tight controls and no surprises. The CFO sets financial strategy; you own the numbers underneath it.</w:t>
      </w:r>
    </w:p>
    <w:p>
      <w:pPr>
        <w:spacing w:after="100" w:before="280"/>
      </w:pPr>
      <w:r>
        <w:rPr>
          <w:rFonts w:ascii="Calibri" w:cs="Calibri" w:eastAsia="Calibri" w:hAnsi="Calibri"/>
          <w:b/>
          <w:bCs/>
          <w:color w:val="14625B"/>
          <w:sz w:val="26"/>
          <w:szCs w:val="26"/>
        </w:rPr>
        <w:t xml:space="preserve">Key tasks</w:t>
      </w:r>
    </w:p>
    <w:p>
      <w:pPr>
        <w:spacing w:after="60" w:before="160"/>
        <w:ind w:left="288"/>
      </w:pPr>
      <w:r>
        <w:rPr>
          <w:rFonts w:ascii="Calibri" w:cs="Calibri" w:eastAsia="Calibri" w:hAnsi="Calibri"/>
          <w:b/>
          <w:bCs/>
          <w:color w:val="262626"/>
          <w:sz w:val="21"/>
          <w:szCs w:val="21"/>
        </w:rPr>
        <w:t xml:space="preserve">1.  Bookkeeping &amp; transactions</w:t>
      </w:r>
    </w:p>
    <w:p>
      <w:pPr>
        <w:pStyle w:val="ListParagraph"/>
        <w:numPr>
          <w:ilvl w:val="1"/>
          <w:numId w:val="2"/>
        </w:numPr>
        <w:spacing w:after="60" w:line="264"/>
      </w:pPr>
      <w:r>
        <w:rPr>
          <w:rFonts w:ascii="Calibri" w:cs="Calibri" w:eastAsia="Calibri" w:hAnsi="Calibri"/>
          <w:color w:val="262626"/>
          <w:sz w:val="21"/>
          <w:szCs w:val="21"/>
        </w:rPr>
        <w:t xml:space="preserve">Record income and expenditure accurately and promptly.</w:t>
      </w:r>
    </w:p>
    <w:p>
      <w:pPr>
        <w:pStyle w:val="ListParagraph"/>
        <w:numPr>
          <w:ilvl w:val="1"/>
          <w:numId w:val="2"/>
        </w:numPr>
        <w:spacing w:after="60" w:line="264"/>
      </w:pPr>
      <w:r>
        <w:rPr>
          <w:rFonts w:ascii="Calibri" w:cs="Calibri" w:eastAsia="Calibri" w:hAnsi="Calibri"/>
          <w:color w:val="262626"/>
          <w:sz w:val="21"/>
          <w:szCs w:val="21"/>
        </w:rPr>
        <w:t xml:space="preserve">Reconcile bank accounts, card transactions and payment platforms.</w:t>
      </w:r>
    </w:p>
    <w:p>
      <w:pPr>
        <w:pStyle w:val="ListParagraph"/>
        <w:numPr>
          <w:ilvl w:val="1"/>
          <w:numId w:val="2"/>
        </w:numPr>
        <w:spacing w:after="60" w:line="264"/>
      </w:pPr>
      <w:r>
        <w:rPr>
          <w:rFonts w:ascii="Calibri" w:cs="Calibri" w:eastAsia="Calibri" w:hAnsi="Calibri"/>
          <w:color w:val="262626"/>
          <w:sz w:val="21"/>
          <w:szCs w:val="21"/>
        </w:rPr>
        <w:t xml:space="preserve">Process supplier invoices and volunteer expense claims in line with policy.</w:t>
      </w:r>
    </w:p>
    <w:p>
      <w:pPr>
        <w:spacing w:after="60" w:before="160"/>
        <w:ind w:left="288"/>
      </w:pPr>
      <w:r>
        <w:rPr>
          <w:rFonts w:ascii="Calibri" w:cs="Calibri" w:eastAsia="Calibri" w:hAnsi="Calibri"/>
          <w:b/>
          <w:bCs/>
          <w:color w:val="262626"/>
          <w:sz w:val="21"/>
          <w:szCs w:val="21"/>
        </w:rPr>
        <w:t xml:space="preserve">2.  Reporting</w:t>
      </w:r>
    </w:p>
    <w:p>
      <w:pPr>
        <w:pStyle w:val="ListParagraph"/>
        <w:numPr>
          <w:ilvl w:val="1"/>
          <w:numId w:val="2"/>
        </w:numPr>
        <w:spacing w:after="60" w:line="264"/>
      </w:pPr>
      <w:r>
        <w:rPr>
          <w:rFonts w:ascii="Calibri" w:cs="Calibri" w:eastAsia="Calibri" w:hAnsi="Calibri"/>
          <w:color w:val="262626"/>
          <w:sz w:val="21"/>
          <w:szCs w:val="21"/>
        </w:rPr>
        <w:t xml:space="preserve">Produce monthly management accounts with commentary, not just figures.</w:t>
      </w:r>
    </w:p>
    <w:p>
      <w:pPr>
        <w:pStyle w:val="ListParagraph"/>
        <w:numPr>
          <w:ilvl w:val="1"/>
          <w:numId w:val="2"/>
        </w:numPr>
        <w:spacing w:after="60" w:line="264"/>
      </w:pPr>
      <w:r>
        <w:rPr>
          <w:rFonts w:ascii="Calibri" w:cs="Calibri" w:eastAsia="Calibri" w:hAnsi="Calibri"/>
          <w:color w:val="262626"/>
          <w:sz w:val="21"/>
          <w:szCs w:val="21"/>
        </w:rPr>
        <w:t xml:space="preserve">Report budget against actual by department and flag variances early.</w:t>
      </w:r>
    </w:p>
    <w:p>
      <w:pPr>
        <w:pStyle w:val="ListParagraph"/>
        <w:numPr>
          <w:ilvl w:val="1"/>
          <w:numId w:val="2"/>
        </w:numPr>
        <w:spacing w:after="60" w:line="264"/>
      </w:pPr>
      <w:r>
        <w:rPr>
          <w:rFonts w:ascii="Calibri" w:cs="Calibri" w:eastAsia="Calibri" w:hAnsi="Calibri"/>
          <w:color w:val="262626"/>
          <w:sz w:val="21"/>
          <w:szCs w:val="21"/>
        </w:rPr>
        <w:t xml:space="preserve">Track restricted fund spend against funder conditions.</w:t>
      </w:r>
    </w:p>
    <w:p>
      <w:pPr>
        <w:spacing w:after="60" w:before="160"/>
        <w:ind w:left="288"/>
      </w:pPr>
      <w:r>
        <w:rPr>
          <w:rFonts w:ascii="Calibri" w:cs="Calibri" w:eastAsia="Calibri" w:hAnsi="Calibri"/>
          <w:b/>
          <w:bCs/>
          <w:color w:val="262626"/>
          <w:sz w:val="21"/>
          <w:szCs w:val="21"/>
        </w:rPr>
        <w:t xml:space="preserve">3.  Controls &amp; compliance</w:t>
      </w:r>
    </w:p>
    <w:p>
      <w:pPr>
        <w:pStyle w:val="ListParagraph"/>
        <w:numPr>
          <w:ilvl w:val="1"/>
          <w:numId w:val="2"/>
        </w:numPr>
        <w:spacing w:after="60" w:line="264"/>
      </w:pPr>
      <w:r>
        <w:rPr>
          <w:rFonts w:ascii="Calibri" w:cs="Calibri" w:eastAsia="Calibri" w:hAnsi="Calibri"/>
          <w:color w:val="262626"/>
          <w:sz w:val="21"/>
          <w:szCs w:val="21"/>
        </w:rPr>
        <w:t xml:space="preserve">Enforce authorisation limits, expenses policy and segregation of duties.</w:t>
      </w:r>
    </w:p>
    <w:p>
      <w:pPr>
        <w:pStyle w:val="ListParagraph"/>
        <w:numPr>
          <w:ilvl w:val="1"/>
          <w:numId w:val="2"/>
        </w:numPr>
        <w:spacing w:after="60" w:line="264"/>
      </w:pPr>
      <w:r>
        <w:rPr>
          <w:rFonts w:ascii="Calibri" w:cs="Calibri" w:eastAsia="Calibri" w:hAnsi="Calibri"/>
          <w:color w:val="262626"/>
          <w:sz w:val="21"/>
          <w:szCs w:val="21"/>
        </w:rPr>
        <w:t xml:space="preserve">Prepare for year end and support Companies House filings and the CIC annual report.</w:t>
      </w:r>
    </w:p>
    <w:p>
      <w:pPr>
        <w:pStyle w:val="ListParagraph"/>
        <w:numPr>
          <w:ilvl w:val="1"/>
          <w:numId w:val="2"/>
        </w:numPr>
        <w:spacing w:after="60" w:line="264"/>
      </w:pPr>
      <w:r>
        <w:rPr>
          <w:rFonts w:ascii="Calibri" w:cs="Calibri" w:eastAsia="Calibri" w:hAnsi="Calibri"/>
          <w:color w:val="262626"/>
          <w:sz w:val="21"/>
          <w:szCs w:val="21"/>
        </w:rPr>
        <w:t xml:space="preserve">Keep records in a state that would survive scrutiny.</w:t>
      </w:r>
    </w:p>
    <w:p>
      <w:pPr>
        <w:spacing w:after="60" w:before="160"/>
        <w:ind w:left="288"/>
      </w:pPr>
      <w:r>
        <w:rPr>
          <w:rFonts w:ascii="Calibri" w:cs="Calibri" w:eastAsia="Calibri" w:hAnsi="Calibri"/>
          <w:b/>
          <w:bCs/>
          <w:color w:val="262626"/>
          <w:sz w:val="21"/>
          <w:szCs w:val="21"/>
        </w:rPr>
        <w:t xml:space="preserve">4.  Budgeting support</w:t>
      </w:r>
    </w:p>
    <w:p>
      <w:pPr>
        <w:pStyle w:val="ListParagraph"/>
        <w:numPr>
          <w:ilvl w:val="1"/>
          <w:numId w:val="2"/>
        </w:numPr>
        <w:spacing w:after="60" w:line="264"/>
      </w:pPr>
      <w:r>
        <w:rPr>
          <w:rFonts w:ascii="Calibri" w:cs="Calibri" w:eastAsia="Calibri" w:hAnsi="Calibri"/>
          <w:color w:val="262626"/>
          <w:sz w:val="21"/>
          <w:szCs w:val="21"/>
        </w:rPr>
        <w:t xml:space="preserve">Help each lead build a budget they can realistically hold.</w:t>
      </w:r>
    </w:p>
    <w:p>
      <w:pPr>
        <w:pStyle w:val="ListParagraph"/>
        <w:numPr>
          <w:ilvl w:val="1"/>
          <w:numId w:val="2"/>
        </w:numPr>
        <w:spacing w:after="60" w:line="264"/>
      </w:pPr>
      <w:r>
        <w:rPr>
          <w:rFonts w:ascii="Calibri" w:cs="Calibri" w:eastAsia="Calibri" w:hAnsi="Calibri"/>
          <w:color w:val="262626"/>
          <w:sz w:val="21"/>
          <w:szCs w:val="21"/>
        </w:rPr>
        <w:t xml:space="preserve">Provide event and programme costings, including cost per participant.</w:t>
      </w:r>
    </w:p>
    <w:p>
      <w:pPr>
        <w:pStyle w:val="ListParagraph"/>
        <w:numPr>
          <w:ilvl w:val="1"/>
          <w:numId w:val="2"/>
        </w:numPr>
        <w:spacing w:after="60" w:line="264"/>
      </w:pPr>
      <w:r>
        <w:rPr>
          <w:rFonts w:ascii="Calibri" w:cs="Calibri" w:eastAsia="Calibri" w:hAnsi="Calibri"/>
          <w:color w:val="262626"/>
          <w:sz w:val="21"/>
          <w:szCs w:val="21"/>
        </w:rPr>
        <w:t xml:space="preserve">Challenge spending that is unbudgeted or unjustified.</w:t>
      </w:r>
    </w:p>
    <w:p>
      <w:pPr>
        <w:spacing w:after="100" w:before="280"/>
      </w:pPr>
      <w:r>
        <w:rPr>
          <w:rFonts w:ascii="Calibri" w:cs="Calibri" w:eastAsia="Calibri" w:hAnsi="Calibri"/>
          <w:b/>
          <w:bCs/>
          <w:color w:val="14625B"/>
          <w:sz w:val="26"/>
          <w:szCs w:val="26"/>
        </w:rPr>
        <w:t xml:space="preserve">What we're looking for</w:t>
      </w:r>
    </w:p>
    <w:p>
      <w:pPr>
        <w:pStyle w:val="ListParagraph"/>
        <w:numPr>
          <w:ilvl w:val="0"/>
          <w:numId w:val="2"/>
        </w:numPr>
        <w:spacing w:after="60" w:line="264"/>
      </w:pPr>
      <w:r>
        <w:rPr>
          <w:rFonts w:ascii="Calibri" w:cs="Calibri" w:eastAsia="Calibri" w:hAnsi="Calibri"/>
          <w:color w:val="262626"/>
          <w:sz w:val="21"/>
          <w:szCs w:val="21"/>
        </w:rPr>
        <w:t xml:space="preserve">Qualified, part-qualified or experienced in bookkeeping and management accounts.</w:t>
      </w:r>
    </w:p>
    <w:p>
      <w:pPr>
        <w:pStyle w:val="ListParagraph"/>
        <w:numPr>
          <w:ilvl w:val="0"/>
          <w:numId w:val="2"/>
        </w:numPr>
        <w:spacing w:after="60" w:line="264"/>
      </w:pPr>
      <w:r>
        <w:rPr>
          <w:rFonts w:ascii="Calibri" w:cs="Calibri" w:eastAsia="Calibri" w:hAnsi="Calibri"/>
          <w:color w:val="262626"/>
          <w:sz w:val="21"/>
          <w:szCs w:val="21"/>
        </w:rPr>
        <w:t xml:space="preserve">Accurate and methodical — small errors bother you.</w:t>
      </w:r>
    </w:p>
    <w:p>
      <w:pPr>
        <w:pStyle w:val="ListParagraph"/>
        <w:numPr>
          <w:ilvl w:val="0"/>
          <w:numId w:val="2"/>
        </w:numPr>
        <w:spacing w:after="60" w:line="264"/>
      </w:pPr>
      <w:r>
        <w:rPr>
          <w:rFonts w:ascii="Calibri" w:cs="Calibri" w:eastAsia="Calibri" w:hAnsi="Calibri"/>
          <w:color w:val="262626"/>
          <w:sz w:val="21"/>
          <w:szCs w:val="21"/>
        </w:rPr>
        <w:t xml:space="preserve">Confident with accounting software such as Xero or QuickBooks.</w:t>
      </w:r>
    </w:p>
    <w:p>
      <w:pPr>
        <w:pStyle w:val="ListParagraph"/>
        <w:numPr>
          <w:ilvl w:val="0"/>
          <w:numId w:val="2"/>
        </w:numPr>
        <w:spacing w:after="60" w:line="264"/>
      </w:pPr>
      <w:r>
        <w:rPr>
          <w:rFonts w:ascii="Calibri" w:cs="Calibri" w:eastAsia="Calibri" w:hAnsi="Calibri"/>
          <w:color w:val="262626"/>
          <w:sz w:val="21"/>
          <w:szCs w:val="21"/>
        </w:rPr>
        <w:t xml:space="preserve">Familiar with restricted fund accounting in a charity or CIC context (desirable).</w:t>
      </w:r>
    </w:p>
    <w:p>
      <w:pPr>
        <w:pStyle w:val="ListParagraph"/>
        <w:numPr>
          <w:ilvl w:val="0"/>
          <w:numId w:val="2"/>
        </w:numPr>
        <w:spacing w:after="60" w:line="264"/>
      </w:pPr>
      <w:r>
        <w:rPr>
          <w:rFonts w:ascii="Calibri" w:cs="Calibri" w:eastAsia="Calibri" w:hAnsi="Calibri"/>
          <w:color w:val="262626"/>
          <w:sz w:val="21"/>
          <w:szCs w:val="21"/>
        </w:rPr>
        <w:t xml:space="preserve">Discreet and trustworthy with confidential information.</w:t>
      </w:r>
    </w:p>
    <w:p>
      <w:pPr>
        <w:spacing w:after="100" w:before="280"/>
      </w:pPr>
      <w:r>
        <w:rPr>
          <w:rFonts w:ascii="Calibri" w:cs="Calibri" w:eastAsia="Calibri" w:hAnsi="Calibri"/>
          <w:b/>
          <w:bCs/>
          <w:color w:val="14625B"/>
          <w:sz w:val="26"/>
          <w:szCs w:val="26"/>
        </w:rPr>
        <w:t xml:space="preserve">What we have to offer</w:t>
      </w:r>
    </w:p>
    <w:p>
      <w:pPr>
        <w:pStyle w:val="ListParagraph"/>
        <w:numPr>
          <w:ilvl w:val="0"/>
          <w:numId w:val="2"/>
        </w:numPr>
        <w:spacing w:after="60" w:line="264"/>
      </w:pPr>
      <w:r>
        <w:rPr>
          <w:rFonts w:ascii="Calibri" w:cs="Calibri" w:eastAsia="Calibri" w:hAnsi="Calibri"/>
          <w:color w:val="262626"/>
          <w:sz w:val="21"/>
          <w:szCs w:val="21"/>
        </w:rPr>
        <w:t xml:space="preserve">Real ownership of a function, not a task list — you will shape how it works, not just execute someone else's plan.</w:t>
      </w:r>
    </w:p>
    <w:p>
      <w:pPr>
        <w:pStyle w:val="ListParagraph"/>
        <w:numPr>
          <w:ilvl w:val="0"/>
          <w:numId w:val="2"/>
        </w:numPr>
        <w:spacing w:after="60" w:line="264"/>
      </w:pPr>
      <w:r>
        <w:rPr>
          <w:rFonts w:ascii="Calibri" w:cs="Calibri" w:eastAsia="Calibri" w:hAnsi="Calibri"/>
          <w:color w:val="262626"/>
          <w:sz w:val="21"/>
          <w:szCs w:val="21"/>
        </w:rPr>
        <w:t xml:space="preserve">A seat in a team building towards a 2030 horizon, with a clear line of sight to the leadership team.</w:t>
      </w:r>
    </w:p>
    <w:p>
      <w:pPr>
        <w:pStyle w:val="ListParagraph"/>
        <w:numPr>
          <w:ilvl w:val="0"/>
          <w:numId w:val="2"/>
        </w:numPr>
        <w:spacing w:after="60" w:line="264"/>
      </w:pPr>
      <w:r>
        <w:rPr>
          <w:rFonts w:ascii="Calibri" w:cs="Calibri" w:eastAsia="Calibri" w:hAnsi="Calibri"/>
          <w:color w:val="262626"/>
          <w:sz w:val="21"/>
          <w:szCs w:val="21"/>
        </w:rPr>
        <w:t xml:space="preserve">Access to our network of founders, professionals, entrepreneurs and investors through Pinnacle's events programme.</w:t>
      </w:r>
    </w:p>
    <w:p>
      <w:pPr>
        <w:pStyle w:val="ListParagraph"/>
        <w:numPr>
          <w:ilvl w:val="0"/>
          <w:numId w:val="2"/>
        </w:numPr>
        <w:spacing w:after="60" w:line="264"/>
      </w:pPr>
      <w:r>
        <w:rPr>
          <w:rFonts w:ascii="Calibri" w:cs="Calibri" w:eastAsia="Calibri" w:hAnsi="Calibri"/>
          <w:color w:val="262626"/>
          <w:sz w:val="21"/>
          <w:szCs w:val="21"/>
        </w:rPr>
        <w:t xml:space="preserve">Training, mentoring and the opportunity to build and lead a team of your own as the organisation grows.</w:t>
      </w:r>
    </w:p>
    <w:p>
      <w:pPr>
        <w:pStyle w:val="ListParagraph"/>
        <w:numPr>
          <w:ilvl w:val="0"/>
          <w:numId w:val="2"/>
        </w:numPr>
        <w:spacing w:after="60" w:line="264"/>
      </w:pPr>
      <w:r>
        <w:rPr>
          <w:rFonts w:ascii="Calibri" w:cs="Calibri" w:eastAsia="Calibri" w:hAnsi="Calibri"/>
          <w:color w:val="262626"/>
          <w:sz w:val="21"/>
          <w:szCs w:val="21"/>
        </w:rPr>
        <w:t xml:space="preserve">The reward of building something in your city that will outlast all of us.</w:t>
      </w:r>
    </w:p>
    <w:p>
      <w:pPr>
        <w:spacing w:before="260"/>
      </w:pPr>
    </w:p>
    <w:p>
      <w:pPr>
        <w:spacing w:after="100" w:line="264"/>
      </w:pPr>
      <w:r>
        <w:rPr>
          <w:rFonts w:ascii="Calibri" w:cs="Calibri" w:eastAsia="Calibri" w:hAnsi="Calibri"/>
          <w:i/>
          <w:iCs/>
          <w:color w:val="595959"/>
          <w:sz w:val="19"/>
          <w:szCs w:val="19"/>
        </w:rPr>
        <w:t xml:space="preserve">Please note: this is currently a volunteer position. Reasonable expenses for travel, equipment and refreshments are reimbursed in line with our Expenses Policy. As Pinnacle grows and funding allows, we expect several senior roles to move to paid positions, and volunteers already in post will be considered first.</w:t>
      </w:r>
    </w:p>
    <w:sectPr>
      <w:pgSz w:w="11906" w:h="16838" w:orient="portrait"/>
      <w:pgMar w:top="1100" w:right="1180" w:bottom="1100" w:left="118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abstractNum w:abstractNumId="2" w15:restartNumberingAfterBreak="0">
    <w:multiLevelType w:val="hybridMultilevel"/>
    <w:lvl w:ilvl="0" w15:tentative="1">
      <w:start w:val="1"/>
      <w:numFmt w:val="bullet"/>
      <w:lvlText w:val="●"/>
      <w:lvlJc w:val="left"/>
      <w:pPr>
        <w:ind w:left="504" w:hanging="288"/>
      </w:pPr>
      <w:rPr>
        <w:color w:val="14625B"/>
        <w:sz w:val="16"/>
        <w:szCs w:val="16"/>
      </w:rPr>
    </w:lvl>
    <w:lvl w:ilvl="1" w15:tentative="1">
      <w:start w:val="1"/>
      <w:numFmt w:val="bullet"/>
      <w:lvlText w:val="○"/>
      <w:lvlJc w:val="left"/>
      <w:pPr>
        <w:ind w:left="936" w:hanging="288"/>
      </w:pPr>
      <w:rPr>
        <w:color w:val="14625B"/>
        <w:sz w:val="16"/>
        <w:szCs w:val="16"/>
      </w:rPr>
    </w:lvl>
  </w:abstractNum>
  <w:num w:numId="1">
    <w:abstractNumId w:val="1"/>
    <w:lvlOverride w:ilvl="0">
      <w:startOverride w:val="1"/>
    </w:lvlOverride>
  </w:num>
  <w:num w:numId="2">
    <w:abstractNumId w:val="2"/>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name="compatibilityMode" w:uri="http://schemas.microsoft.com/office/word" w:val="15"/>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