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3CB2" w:rsidRDefault="00000000">
      <w:pPr>
        <w:spacing w:after="160"/>
      </w:pPr>
      <w:r>
        <w:rPr>
          <w:rFonts w:ascii="Calibri" w:eastAsia="Calibri" w:hAnsi="Calibri" w:cs="Calibri"/>
          <w:b/>
          <w:bCs/>
          <w:color w:val="14625B"/>
          <w:sz w:val="30"/>
          <w:szCs w:val="30"/>
        </w:rPr>
        <w:t>The Pinnacle Centre</w:t>
      </w:r>
    </w:p>
    <w:p w:rsidR="00F83CB2" w:rsidRDefault="00F83CB2">
      <w:pPr>
        <w:pBdr>
          <w:bottom w:val="single" w:sz="8" w:space="1" w:color="14625B"/>
        </w:pBdr>
        <w:spacing w:before="120" w:after="200"/>
      </w:pP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600"/>
        <w:gridCol w:w="6400"/>
      </w:tblGrid>
      <w:tr w:rsidR="00F83CB2">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Role Title:</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303B7A">
            <w:r>
              <w:rPr>
                <w:rFonts w:ascii="Calibri" w:eastAsia="Calibri" w:hAnsi="Calibri" w:cs="Calibri"/>
                <w:b/>
                <w:bCs/>
                <w:color w:val="14625B"/>
                <w:sz w:val="21"/>
                <w:szCs w:val="21"/>
              </w:rPr>
              <w:t xml:space="preserve">Communications </w:t>
            </w:r>
            <w:r w:rsidR="00000000">
              <w:rPr>
                <w:rFonts w:ascii="Calibri" w:eastAsia="Calibri" w:hAnsi="Calibri" w:cs="Calibri"/>
                <w:b/>
                <w:bCs/>
                <w:color w:val="14625B"/>
                <w:sz w:val="21"/>
                <w:szCs w:val="21"/>
              </w:rPr>
              <w:t>Lead</w:t>
            </w:r>
          </w:p>
        </w:tc>
      </w:tr>
      <w:tr w:rsidR="00F83CB2">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Department: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303B7A">
            <w:r>
              <w:rPr>
                <w:rFonts w:ascii="Calibri" w:eastAsia="Calibri" w:hAnsi="Calibri" w:cs="Calibri"/>
                <w:b/>
                <w:bCs/>
                <w:color w:val="14625B"/>
                <w:sz w:val="21"/>
                <w:szCs w:val="21"/>
              </w:rPr>
              <w:t>Marketing</w:t>
            </w:r>
          </w:p>
        </w:tc>
      </w:tr>
      <w:tr w:rsidR="00F83CB2">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Location:</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UK, remote — with regular presence in Birmingham</w:t>
            </w:r>
          </w:p>
        </w:tc>
      </w:tr>
      <w:tr w:rsidR="00F83CB2">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Reporting to:</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Chief Marketing Officer</w:t>
            </w:r>
          </w:p>
        </w:tc>
      </w:tr>
      <w:tr w:rsidR="00F83CB2">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Commitment: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F83CB2" w:rsidRDefault="00000000">
            <w:r>
              <w:rPr>
                <w:rFonts w:ascii="Calibri" w:eastAsia="Calibri" w:hAnsi="Calibri" w:cs="Calibri"/>
                <w:b/>
                <w:bCs/>
                <w:color w:val="14625B"/>
                <w:sz w:val="21"/>
                <w:szCs w:val="21"/>
              </w:rPr>
              <w:t>5–7 hours per week, on average</w:t>
            </w:r>
          </w:p>
        </w:tc>
      </w:tr>
    </w:tbl>
    <w:p w:rsidR="00F83CB2" w:rsidRDefault="00F83CB2">
      <w:pPr>
        <w:pBdr>
          <w:bottom w:val="single" w:sz="8" w:space="1" w:color="14625B"/>
        </w:pBdr>
        <w:spacing w:before="120" w:after="200"/>
      </w:pPr>
    </w:p>
    <w:p w:rsidR="00F83CB2" w:rsidRDefault="00000000">
      <w:pPr>
        <w:spacing w:before="280" w:after="100"/>
      </w:pPr>
      <w:r>
        <w:rPr>
          <w:rFonts w:ascii="Calibri" w:eastAsia="Calibri" w:hAnsi="Calibri" w:cs="Calibri"/>
          <w:b/>
          <w:bCs/>
          <w:color w:val="14625B"/>
          <w:sz w:val="26"/>
          <w:szCs w:val="26"/>
        </w:rPr>
        <w:t>About The Pinnacle Centre</w:t>
      </w:r>
    </w:p>
    <w:p w:rsidR="00F83CB2" w:rsidRDefault="00000000">
      <w:pPr>
        <w:spacing w:after="140" w:line="276" w:lineRule="auto"/>
      </w:pPr>
      <w:r>
        <w:rPr>
          <w:rFonts w:ascii="Calibri" w:eastAsia="Calibri" w:hAnsi="Calibri" w:cs="Calibri"/>
          <w:color w:val="262626"/>
          <w:sz w:val="21"/>
          <w:szCs w:val="21"/>
        </w:rPr>
        <w:t>The Pinnacle Centre is a third space in Birmingham helping young adults grow holistically. We work across three domains: personal development, sports and wellbeing, and community and belonging.</w:t>
      </w:r>
    </w:p>
    <w:p w:rsidR="00F83CB2" w:rsidRDefault="00000000">
      <w:pPr>
        <w:spacing w:after="140" w:line="276" w:lineRule="auto"/>
      </w:pPr>
      <w:r>
        <w:rPr>
          <w:rFonts w:ascii="Calibri" w:eastAsia="Calibri" w:hAnsi="Calibri" w:cs="Calibri"/>
          <w:color w:val="262626"/>
          <w:sz w:val="21"/>
          <w:szCs w:val="21"/>
        </w:rPr>
        <w:t>Vision 2030 is where that work is heading. We're building a multi-purpose centre in Birmingham — sports facilities, co-working space, an auditorium and a café — designed as a home for young adults to train, work, learn and gather.</w:t>
      </w:r>
    </w:p>
    <w:p w:rsidR="00F83CB2" w:rsidRDefault="00000000">
      <w:pPr>
        <w:spacing w:before="280" w:after="100"/>
      </w:pPr>
      <w:r>
        <w:rPr>
          <w:rFonts w:ascii="Calibri" w:eastAsia="Calibri" w:hAnsi="Calibri" w:cs="Calibri"/>
          <w:b/>
          <w:bCs/>
          <w:color w:val="14625B"/>
          <w:sz w:val="26"/>
          <w:szCs w:val="26"/>
        </w:rPr>
        <w:t>Role Summary</w:t>
      </w:r>
    </w:p>
    <w:p w:rsidR="00F83CB2" w:rsidRDefault="00000000">
      <w:pPr>
        <w:spacing w:after="140" w:line="276" w:lineRule="auto"/>
      </w:pPr>
      <w:r>
        <w:rPr>
          <w:rFonts w:ascii="Calibri" w:eastAsia="Calibri" w:hAnsi="Calibri" w:cs="Calibri"/>
          <w:color w:val="262626"/>
          <w:sz w:val="21"/>
          <w:szCs w:val="21"/>
        </w:rPr>
        <w:t xml:space="preserve">You own Pinnacle's channels and the community on them — </w:t>
      </w:r>
      <w:r w:rsidR="00210804">
        <w:rPr>
          <w:rFonts w:ascii="Calibri" w:eastAsia="Calibri" w:hAnsi="Calibri" w:cs="Calibri"/>
          <w:color w:val="262626"/>
          <w:sz w:val="21"/>
          <w:szCs w:val="21"/>
        </w:rPr>
        <w:t>website</w:t>
      </w:r>
      <w:r>
        <w:rPr>
          <w:rFonts w:ascii="Calibri" w:eastAsia="Calibri" w:hAnsi="Calibri" w:cs="Calibri"/>
          <w:color w:val="262626"/>
          <w:sz w:val="21"/>
          <w:szCs w:val="21"/>
        </w:rPr>
        <w:t>, email and member communications. You decide what goes out, you talk to the people who reply, and you own the numbers that come back.</w:t>
      </w:r>
    </w:p>
    <w:p w:rsidR="00F83CB2" w:rsidRDefault="00000000">
      <w:pPr>
        <w:spacing w:before="280" w:after="100"/>
      </w:pPr>
      <w:r>
        <w:rPr>
          <w:rFonts w:ascii="Calibri" w:eastAsia="Calibri" w:hAnsi="Calibri" w:cs="Calibri"/>
          <w:b/>
          <w:bCs/>
          <w:color w:val="14625B"/>
          <w:sz w:val="26"/>
          <w:szCs w:val="26"/>
        </w:rPr>
        <w:t>Key tasks</w:t>
      </w:r>
    </w:p>
    <w:p w:rsidR="00F83CB2" w:rsidRDefault="00000000">
      <w:pPr>
        <w:spacing w:before="160" w:after="60"/>
        <w:ind w:left="288"/>
      </w:pPr>
      <w:r>
        <w:rPr>
          <w:rFonts w:ascii="Calibri" w:eastAsia="Calibri" w:hAnsi="Calibri" w:cs="Calibri"/>
          <w:b/>
          <w:bCs/>
          <w:color w:val="262626"/>
          <w:sz w:val="21"/>
          <w:szCs w:val="21"/>
        </w:rPr>
        <w:t>1.  Channel strategy &amp; publishing</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Own the channel strategy and the content calendar across platforms.</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Publish consistently, at the right times, in the right format for each platform.</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Set and pursue reach, engagement and follower growth targets.</w:t>
      </w:r>
    </w:p>
    <w:p w:rsidR="00F83CB2" w:rsidRDefault="00000000">
      <w:pPr>
        <w:spacing w:before="160" w:after="60"/>
        <w:ind w:left="288"/>
      </w:pPr>
      <w:r>
        <w:rPr>
          <w:rFonts w:ascii="Calibri" w:eastAsia="Calibri" w:hAnsi="Calibri" w:cs="Calibri"/>
          <w:b/>
          <w:bCs/>
          <w:color w:val="262626"/>
          <w:sz w:val="21"/>
          <w:szCs w:val="21"/>
        </w:rPr>
        <w:t>2.  Community management</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Respond to comments, messages and mentions promptly and in voice.</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Build genuine relationships with our most engaged followers.</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Escalate complaints and sensitive issues to the CMO.</w:t>
      </w:r>
    </w:p>
    <w:p w:rsidR="00F83CB2" w:rsidRDefault="00000000">
      <w:pPr>
        <w:spacing w:before="160" w:after="60"/>
        <w:ind w:left="288"/>
      </w:pPr>
      <w:r>
        <w:rPr>
          <w:rFonts w:ascii="Calibri" w:eastAsia="Calibri" w:hAnsi="Calibri" w:cs="Calibri"/>
          <w:b/>
          <w:bCs/>
          <w:color w:val="262626"/>
          <w:sz w:val="21"/>
          <w:szCs w:val="21"/>
        </w:rPr>
        <w:t>3.  Owned channels</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Own email and member communications as channels we control outright.</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Keep the mailing list clean, segmented and GDPR compliant.</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Make sure nobody who contacts Pinnacle goes unanswered.</w:t>
      </w:r>
    </w:p>
    <w:p w:rsidR="00F83CB2" w:rsidRDefault="00000000">
      <w:pPr>
        <w:spacing w:before="160" w:after="60"/>
        <w:ind w:left="288"/>
      </w:pPr>
      <w:r>
        <w:rPr>
          <w:rFonts w:ascii="Calibri" w:eastAsia="Calibri" w:hAnsi="Calibri" w:cs="Calibri"/>
          <w:b/>
          <w:bCs/>
          <w:color w:val="262626"/>
          <w:sz w:val="21"/>
          <w:szCs w:val="21"/>
        </w:rPr>
        <w:t>4.  Content &amp; performance</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Capture content at events and sessions, and maintain a bank of ready-to-post material.</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Brief Creative and Video on what you need and when.</w:t>
      </w:r>
    </w:p>
    <w:p w:rsidR="00F83CB2" w:rsidRDefault="00000000">
      <w:pPr>
        <w:pStyle w:val="ListParagraph"/>
        <w:numPr>
          <w:ilvl w:val="1"/>
          <w:numId w:val="2"/>
        </w:numPr>
        <w:spacing w:after="60" w:line="264" w:lineRule="auto"/>
      </w:pPr>
      <w:r>
        <w:rPr>
          <w:rFonts w:ascii="Calibri" w:eastAsia="Calibri" w:hAnsi="Calibri" w:cs="Calibri"/>
          <w:color w:val="262626"/>
          <w:sz w:val="21"/>
          <w:szCs w:val="21"/>
        </w:rPr>
        <w:t>Track what performs, adjust accordingly, and report monthly with insight rather than screenshots.</w:t>
      </w:r>
    </w:p>
    <w:p w:rsidR="00F83CB2" w:rsidRDefault="00000000">
      <w:pPr>
        <w:spacing w:before="280" w:after="100"/>
      </w:pPr>
      <w:r>
        <w:rPr>
          <w:rFonts w:ascii="Calibri" w:eastAsia="Calibri" w:hAnsi="Calibri" w:cs="Calibri"/>
          <w:b/>
          <w:bCs/>
          <w:color w:val="14625B"/>
          <w:sz w:val="26"/>
          <w:szCs w:val="26"/>
        </w:rPr>
        <w:t>What we're looking for</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Hands-on social media and community management experience.</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A strong instinct for tone, timing and what will actually travel.</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lastRenderedPageBreak/>
        <w:t>Fluent across the platforms our audience uses.</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Comfortable capturing content in the room, and on camera if needed.</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Email marketing experience and basic editing skills (desirable).</w:t>
      </w:r>
    </w:p>
    <w:p w:rsidR="00F83CB2" w:rsidRDefault="00000000">
      <w:pPr>
        <w:spacing w:before="280" w:after="100"/>
      </w:pPr>
      <w:r>
        <w:rPr>
          <w:rFonts w:ascii="Calibri" w:eastAsia="Calibri" w:hAnsi="Calibri" w:cs="Calibri"/>
          <w:b/>
          <w:bCs/>
          <w:color w:val="14625B"/>
          <w:sz w:val="26"/>
          <w:szCs w:val="26"/>
        </w:rPr>
        <w:t>What we have to offer</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Real ownership of a function, not a task list — you will shape how it works, not just execute someone else's plan.</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A seat in a team building towards a 2030 horizon, with a clear line of sight to the leadership team.</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Access to our network of founders, professionals, entrepreneurs and investors through Pinnacle's events programme.</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Training, mentoring and the opportunity to build and lead a team of your own as the organisation grows.</w:t>
      </w:r>
    </w:p>
    <w:p w:rsidR="00F83CB2" w:rsidRDefault="00000000">
      <w:pPr>
        <w:pStyle w:val="ListParagraph"/>
        <w:numPr>
          <w:ilvl w:val="0"/>
          <w:numId w:val="2"/>
        </w:numPr>
        <w:spacing w:after="60" w:line="264" w:lineRule="auto"/>
      </w:pPr>
      <w:r>
        <w:rPr>
          <w:rFonts w:ascii="Calibri" w:eastAsia="Calibri" w:hAnsi="Calibri" w:cs="Calibri"/>
          <w:color w:val="262626"/>
          <w:sz w:val="21"/>
          <w:szCs w:val="21"/>
        </w:rPr>
        <w:t>The reward of building something in your city that will outlast all of us.</w:t>
      </w:r>
    </w:p>
    <w:p w:rsidR="00F83CB2" w:rsidRDefault="00F83CB2">
      <w:pPr>
        <w:spacing w:before="260"/>
      </w:pPr>
    </w:p>
    <w:p w:rsidR="00F83CB2" w:rsidRDefault="00000000">
      <w:pPr>
        <w:spacing w:after="100" w:line="264" w:lineRule="auto"/>
      </w:pPr>
      <w:r>
        <w:rPr>
          <w:rFonts w:ascii="Calibri" w:eastAsia="Calibri" w:hAnsi="Calibri" w:cs="Calibri"/>
          <w:i/>
          <w:iCs/>
          <w:color w:val="595959"/>
          <w:sz w:val="19"/>
          <w:szCs w:val="19"/>
        </w:rPr>
        <w:t>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rsidR="00F83CB2">
      <w:pgSz w:w="11906" w:h="16838"/>
      <w:pgMar w:top="1100" w:right="1180" w:bottom="1100" w:left="11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904F2"/>
    <w:multiLevelType w:val="hybridMultilevel"/>
    <w:tmpl w:val="B9DE1668"/>
    <w:lvl w:ilvl="0" w:tplc="11E03AA8">
      <w:start w:val="1"/>
      <w:numFmt w:val="bullet"/>
      <w:lvlText w:val="●"/>
      <w:lvlJc w:val="left"/>
      <w:pPr>
        <w:ind w:left="720" w:hanging="360"/>
      </w:pPr>
    </w:lvl>
    <w:lvl w:ilvl="1" w:tplc="CA746016">
      <w:start w:val="1"/>
      <w:numFmt w:val="bullet"/>
      <w:lvlText w:val="○"/>
      <w:lvlJc w:val="left"/>
      <w:pPr>
        <w:ind w:left="1440" w:hanging="360"/>
      </w:pPr>
    </w:lvl>
    <w:lvl w:ilvl="2" w:tplc="904429D0">
      <w:start w:val="1"/>
      <w:numFmt w:val="bullet"/>
      <w:lvlText w:val="■"/>
      <w:lvlJc w:val="left"/>
      <w:pPr>
        <w:ind w:left="2160" w:hanging="360"/>
      </w:pPr>
    </w:lvl>
    <w:lvl w:ilvl="3" w:tplc="94C85100">
      <w:start w:val="1"/>
      <w:numFmt w:val="bullet"/>
      <w:lvlText w:val="●"/>
      <w:lvlJc w:val="left"/>
      <w:pPr>
        <w:ind w:left="2880" w:hanging="360"/>
      </w:pPr>
    </w:lvl>
    <w:lvl w:ilvl="4" w:tplc="D43EEA56">
      <w:start w:val="1"/>
      <w:numFmt w:val="bullet"/>
      <w:lvlText w:val="○"/>
      <w:lvlJc w:val="left"/>
      <w:pPr>
        <w:ind w:left="3600" w:hanging="360"/>
      </w:pPr>
    </w:lvl>
    <w:lvl w:ilvl="5" w:tplc="63669D32">
      <w:start w:val="1"/>
      <w:numFmt w:val="bullet"/>
      <w:lvlText w:val="■"/>
      <w:lvlJc w:val="left"/>
      <w:pPr>
        <w:ind w:left="4320" w:hanging="360"/>
      </w:pPr>
    </w:lvl>
    <w:lvl w:ilvl="6" w:tplc="F72AB054">
      <w:start w:val="1"/>
      <w:numFmt w:val="bullet"/>
      <w:lvlText w:val="●"/>
      <w:lvlJc w:val="left"/>
      <w:pPr>
        <w:ind w:left="5040" w:hanging="360"/>
      </w:pPr>
    </w:lvl>
    <w:lvl w:ilvl="7" w:tplc="1EA4D4C6">
      <w:start w:val="1"/>
      <w:numFmt w:val="bullet"/>
      <w:lvlText w:val="●"/>
      <w:lvlJc w:val="left"/>
      <w:pPr>
        <w:ind w:left="5760" w:hanging="360"/>
      </w:pPr>
    </w:lvl>
    <w:lvl w:ilvl="8" w:tplc="301295BE">
      <w:start w:val="1"/>
      <w:numFmt w:val="bullet"/>
      <w:lvlText w:val="●"/>
      <w:lvlJc w:val="left"/>
      <w:pPr>
        <w:ind w:left="6480" w:hanging="360"/>
      </w:pPr>
    </w:lvl>
  </w:abstractNum>
  <w:abstractNum w:abstractNumId="1" w15:restartNumberingAfterBreak="0">
    <w:nsid w:val="6CA53DEA"/>
    <w:multiLevelType w:val="hybridMultilevel"/>
    <w:tmpl w:val="D548E35C"/>
    <w:lvl w:ilvl="0" w:tplc="C7FED6CE">
      <w:start w:val="1"/>
      <w:numFmt w:val="bullet"/>
      <w:lvlText w:val="●"/>
      <w:lvlJc w:val="left"/>
      <w:pPr>
        <w:ind w:left="504" w:hanging="288"/>
      </w:pPr>
      <w:rPr>
        <w:color w:val="14625B"/>
        <w:sz w:val="16"/>
        <w:szCs w:val="16"/>
      </w:rPr>
    </w:lvl>
    <w:lvl w:ilvl="1" w:tplc="4F607D50">
      <w:start w:val="1"/>
      <w:numFmt w:val="bullet"/>
      <w:lvlText w:val="○"/>
      <w:lvlJc w:val="left"/>
      <w:pPr>
        <w:ind w:left="936" w:hanging="288"/>
      </w:pPr>
      <w:rPr>
        <w:color w:val="14625B"/>
        <w:sz w:val="16"/>
        <w:szCs w:val="16"/>
      </w:rPr>
    </w:lvl>
    <w:lvl w:ilvl="2" w:tplc="FA1A5448">
      <w:numFmt w:val="decimal"/>
      <w:lvlText w:val=""/>
      <w:lvlJc w:val="left"/>
    </w:lvl>
    <w:lvl w:ilvl="3" w:tplc="D5802170">
      <w:numFmt w:val="decimal"/>
      <w:lvlText w:val=""/>
      <w:lvlJc w:val="left"/>
    </w:lvl>
    <w:lvl w:ilvl="4" w:tplc="2F507FFE">
      <w:numFmt w:val="decimal"/>
      <w:lvlText w:val=""/>
      <w:lvlJc w:val="left"/>
    </w:lvl>
    <w:lvl w:ilvl="5" w:tplc="AC54B51C">
      <w:numFmt w:val="decimal"/>
      <w:lvlText w:val=""/>
      <w:lvlJc w:val="left"/>
    </w:lvl>
    <w:lvl w:ilvl="6" w:tplc="A7444BD8">
      <w:numFmt w:val="decimal"/>
      <w:lvlText w:val=""/>
      <w:lvlJc w:val="left"/>
    </w:lvl>
    <w:lvl w:ilvl="7" w:tplc="2E26D9D0">
      <w:numFmt w:val="decimal"/>
      <w:lvlText w:val=""/>
      <w:lvlJc w:val="left"/>
    </w:lvl>
    <w:lvl w:ilvl="8" w:tplc="C2B4EEF4">
      <w:numFmt w:val="decimal"/>
      <w:lvlText w:val=""/>
      <w:lvlJc w:val="left"/>
    </w:lvl>
  </w:abstractNum>
  <w:num w:numId="1" w16cid:durableId="1507865744">
    <w:abstractNumId w:val="0"/>
    <w:lvlOverride w:ilvl="0">
      <w:startOverride w:val="1"/>
    </w:lvlOverride>
  </w:num>
  <w:num w:numId="2" w16cid:durableId="21271196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D327724"/>
  <w15:docId w15:val="{63C6B36C-9E41-A344-89FE-3410C000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