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A73F" w14:textId="77777777" w:rsidR="00055D69" w:rsidRDefault="00570CE0">
      <w:pPr>
        <w:jc w:val="center"/>
        <w:rPr>
          <w:rFonts w:ascii="Arial" w:hAnsi="Arial" w:cs="Arial"/>
          <w:b/>
          <w:sz w:val="36"/>
          <w:szCs w:val="36"/>
        </w:rPr>
      </w:pPr>
      <w:r>
        <w:rPr>
          <w:rFonts w:ascii="Arial" w:hAnsi="Arial" w:cs="Arial"/>
          <w:b/>
          <w:sz w:val="36"/>
          <w:szCs w:val="36"/>
        </w:rPr>
        <w:t xml:space="preserve">Job Description </w:t>
      </w:r>
    </w:p>
    <w:p w14:paraId="19F1A740" w14:textId="77777777" w:rsidR="00055D69" w:rsidRDefault="00055D69">
      <w:pPr>
        <w:rPr>
          <w:rFonts w:ascii="Arial" w:hAnsi="Arial" w:cs="Arial"/>
          <w:sz w:val="24"/>
          <w:szCs w:val="24"/>
        </w:rPr>
      </w:pPr>
    </w:p>
    <w:p w14:paraId="19F1A741" w14:textId="77777777" w:rsidR="00055D69" w:rsidRDefault="00570CE0">
      <w:pPr>
        <w:suppressAutoHyphens w:val="0"/>
        <w:rPr>
          <w:rFonts w:ascii="Arial" w:eastAsia="Aptos" w:hAnsi="Arial" w:cs="Arial"/>
          <w:sz w:val="24"/>
          <w:szCs w:val="24"/>
          <w:lang w:eastAsia="en-US"/>
        </w:rPr>
      </w:pPr>
      <w:r>
        <w:rPr>
          <w:rFonts w:ascii="Arial" w:eastAsia="Aptos" w:hAnsi="Arial" w:cs="Arial"/>
          <w:sz w:val="24"/>
          <w:szCs w:val="24"/>
          <w:lang w:eastAsia="en-US"/>
        </w:rPr>
        <w:t>Historic England is the public organisation that brings new life to heritage to build a better future for every place and everyone.</w:t>
      </w:r>
    </w:p>
    <w:p w14:paraId="19F1A742" w14:textId="77777777" w:rsidR="00055D69" w:rsidRDefault="00055D69">
      <w:pPr>
        <w:rPr>
          <w:rFonts w:ascii="Arial" w:hAnsi="Arial" w:cs="Arial"/>
          <w:b/>
          <w:sz w:val="24"/>
          <w:szCs w:val="24"/>
        </w:rPr>
      </w:pPr>
    </w:p>
    <w:tbl>
      <w:tblPr>
        <w:tblW w:w="9060" w:type="dxa"/>
        <w:tblInd w:w="-108" w:type="dxa"/>
        <w:tblCellMar>
          <w:left w:w="10" w:type="dxa"/>
          <w:right w:w="10" w:type="dxa"/>
        </w:tblCellMar>
        <w:tblLook w:val="0000" w:firstRow="0" w:lastRow="0" w:firstColumn="0" w:lastColumn="0" w:noHBand="0" w:noVBand="0"/>
      </w:tblPr>
      <w:tblGrid>
        <w:gridCol w:w="3227"/>
        <w:gridCol w:w="5833"/>
      </w:tblGrid>
      <w:tr w:rsidR="00055D69" w14:paraId="19F1A745" w14:textId="77777777">
        <w:tblPrEx>
          <w:tblCellMar>
            <w:top w:w="0" w:type="dxa"/>
            <w:bottom w:w="0" w:type="dxa"/>
          </w:tblCellMar>
        </w:tblPrEx>
        <w:tc>
          <w:tcPr>
            <w:tcW w:w="3227" w:type="dxa"/>
            <w:tcMar>
              <w:top w:w="57" w:type="dxa"/>
              <w:left w:w="108" w:type="dxa"/>
              <w:bottom w:w="57" w:type="dxa"/>
              <w:right w:w="108" w:type="dxa"/>
            </w:tcMar>
          </w:tcPr>
          <w:p w14:paraId="19F1A743" w14:textId="77777777" w:rsidR="00055D69" w:rsidRDefault="00570CE0">
            <w:pPr>
              <w:rPr>
                <w:rFonts w:ascii="Arial" w:hAnsi="Arial" w:cs="Arial"/>
                <w:b/>
                <w:sz w:val="24"/>
                <w:szCs w:val="24"/>
              </w:rPr>
            </w:pPr>
            <w:r>
              <w:rPr>
                <w:rFonts w:ascii="Arial" w:hAnsi="Arial" w:cs="Arial"/>
                <w:b/>
                <w:sz w:val="24"/>
                <w:szCs w:val="24"/>
              </w:rPr>
              <w:t>Job title:</w:t>
            </w:r>
          </w:p>
        </w:tc>
        <w:tc>
          <w:tcPr>
            <w:tcW w:w="5833" w:type="dxa"/>
            <w:tcMar>
              <w:top w:w="57" w:type="dxa"/>
              <w:left w:w="108" w:type="dxa"/>
              <w:bottom w:w="57" w:type="dxa"/>
              <w:right w:w="108" w:type="dxa"/>
            </w:tcMar>
          </w:tcPr>
          <w:p w14:paraId="19F1A744" w14:textId="77777777" w:rsidR="00055D69" w:rsidRDefault="00570CE0">
            <w:r>
              <w:rPr>
                <w:rFonts w:ascii="Arial" w:hAnsi="Arial" w:cs="Arial"/>
                <w:bCs/>
                <w:sz w:val="24"/>
                <w:szCs w:val="24"/>
              </w:rPr>
              <w:t>Participation &amp; Learning Director</w:t>
            </w:r>
          </w:p>
        </w:tc>
      </w:tr>
      <w:tr w:rsidR="00055D69" w14:paraId="19F1A748" w14:textId="77777777">
        <w:tblPrEx>
          <w:tblCellMar>
            <w:top w:w="0" w:type="dxa"/>
            <w:bottom w:w="0" w:type="dxa"/>
          </w:tblCellMar>
        </w:tblPrEx>
        <w:tc>
          <w:tcPr>
            <w:tcW w:w="3227" w:type="dxa"/>
            <w:tcMar>
              <w:top w:w="57" w:type="dxa"/>
              <w:left w:w="108" w:type="dxa"/>
              <w:bottom w:w="57" w:type="dxa"/>
              <w:right w:w="108" w:type="dxa"/>
            </w:tcMar>
          </w:tcPr>
          <w:p w14:paraId="19F1A746" w14:textId="77777777" w:rsidR="00055D69" w:rsidRDefault="00570CE0">
            <w:pPr>
              <w:rPr>
                <w:rFonts w:ascii="Arial" w:hAnsi="Arial" w:cs="Arial"/>
                <w:b/>
                <w:sz w:val="24"/>
                <w:szCs w:val="24"/>
              </w:rPr>
            </w:pPr>
            <w:r>
              <w:rPr>
                <w:rFonts w:ascii="Arial" w:hAnsi="Arial" w:cs="Arial"/>
                <w:b/>
                <w:sz w:val="24"/>
                <w:szCs w:val="24"/>
              </w:rPr>
              <w:t>Department:</w:t>
            </w:r>
          </w:p>
        </w:tc>
        <w:tc>
          <w:tcPr>
            <w:tcW w:w="5833" w:type="dxa"/>
            <w:tcMar>
              <w:top w:w="57" w:type="dxa"/>
              <w:left w:w="108" w:type="dxa"/>
              <w:bottom w:w="57" w:type="dxa"/>
              <w:right w:w="108" w:type="dxa"/>
            </w:tcMar>
          </w:tcPr>
          <w:p w14:paraId="19F1A747" w14:textId="77777777" w:rsidR="00055D69" w:rsidRDefault="00570CE0">
            <w:r>
              <w:rPr>
                <w:rFonts w:ascii="Arial" w:hAnsi="Arial" w:cs="Arial"/>
                <w:bCs/>
                <w:sz w:val="24"/>
                <w:szCs w:val="24"/>
              </w:rPr>
              <w:t xml:space="preserve">Communications &amp; </w:t>
            </w:r>
            <w:r>
              <w:rPr>
                <w:rFonts w:ascii="Arial" w:hAnsi="Arial" w:cs="Arial"/>
                <w:bCs/>
                <w:sz w:val="24"/>
                <w:szCs w:val="24"/>
              </w:rPr>
              <w:t>Engagement</w:t>
            </w:r>
          </w:p>
        </w:tc>
      </w:tr>
      <w:tr w:rsidR="00055D69" w14:paraId="19F1A74B" w14:textId="77777777">
        <w:tblPrEx>
          <w:tblCellMar>
            <w:top w:w="0" w:type="dxa"/>
            <w:bottom w:w="0" w:type="dxa"/>
          </w:tblCellMar>
        </w:tblPrEx>
        <w:tc>
          <w:tcPr>
            <w:tcW w:w="3227" w:type="dxa"/>
            <w:tcMar>
              <w:top w:w="57" w:type="dxa"/>
              <w:left w:w="108" w:type="dxa"/>
              <w:bottom w:w="57" w:type="dxa"/>
              <w:right w:w="108" w:type="dxa"/>
            </w:tcMar>
          </w:tcPr>
          <w:p w14:paraId="19F1A749" w14:textId="77777777" w:rsidR="00055D69" w:rsidRDefault="00570CE0">
            <w:pPr>
              <w:rPr>
                <w:rFonts w:ascii="Arial" w:hAnsi="Arial" w:cs="Arial"/>
                <w:b/>
                <w:sz w:val="24"/>
                <w:szCs w:val="24"/>
              </w:rPr>
            </w:pPr>
            <w:r>
              <w:rPr>
                <w:rFonts w:ascii="Arial" w:hAnsi="Arial" w:cs="Arial"/>
                <w:b/>
                <w:sz w:val="24"/>
                <w:szCs w:val="24"/>
              </w:rPr>
              <w:t>Group:</w:t>
            </w:r>
          </w:p>
        </w:tc>
        <w:tc>
          <w:tcPr>
            <w:tcW w:w="5833" w:type="dxa"/>
            <w:tcMar>
              <w:top w:w="57" w:type="dxa"/>
              <w:left w:w="108" w:type="dxa"/>
              <w:bottom w:w="57" w:type="dxa"/>
              <w:right w:w="108" w:type="dxa"/>
            </w:tcMar>
          </w:tcPr>
          <w:p w14:paraId="19F1A74A" w14:textId="77777777" w:rsidR="00055D69" w:rsidRDefault="00570CE0">
            <w:pPr>
              <w:rPr>
                <w:rFonts w:ascii="Arial" w:hAnsi="Arial" w:cs="Arial"/>
                <w:bCs/>
                <w:sz w:val="24"/>
                <w:szCs w:val="24"/>
              </w:rPr>
            </w:pPr>
            <w:r>
              <w:rPr>
                <w:rFonts w:ascii="Arial" w:hAnsi="Arial" w:cs="Arial"/>
                <w:bCs/>
                <w:sz w:val="24"/>
                <w:szCs w:val="24"/>
              </w:rPr>
              <w:t>Communications &amp; Engagement</w:t>
            </w:r>
          </w:p>
        </w:tc>
      </w:tr>
      <w:tr w:rsidR="00055D69" w14:paraId="19F1A74E" w14:textId="77777777">
        <w:tblPrEx>
          <w:tblCellMar>
            <w:top w:w="0" w:type="dxa"/>
            <w:bottom w:w="0" w:type="dxa"/>
          </w:tblCellMar>
        </w:tblPrEx>
        <w:tc>
          <w:tcPr>
            <w:tcW w:w="3227" w:type="dxa"/>
            <w:tcMar>
              <w:top w:w="57" w:type="dxa"/>
              <w:left w:w="108" w:type="dxa"/>
              <w:bottom w:w="57" w:type="dxa"/>
              <w:right w:w="108" w:type="dxa"/>
            </w:tcMar>
          </w:tcPr>
          <w:p w14:paraId="19F1A74C" w14:textId="77777777" w:rsidR="00055D69" w:rsidRDefault="00570CE0">
            <w:pPr>
              <w:rPr>
                <w:rFonts w:ascii="Arial" w:hAnsi="Arial" w:cs="Arial"/>
                <w:b/>
                <w:sz w:val="24"/>
                <w:szCs w:val="24"/>
              </w:rPr>
            </w:pPr>
            <w:r>
              <w:rPr>
                <w:rFonts w:ascii="Arial" w:hAnsi="Arial" w:cs="Arial"/>
                <w:b/>
                <w:sz w:val="24"/>
                <w:szCs w:val="24"/>
              </w:rPr>
              <w:t>Location:</w:t>
            </w:r>
          </w:p>
        </w:tc>
        <w:tc>
          <w:tcPr>
            <w:tcW w:w="5833" w:type="dxa"/>
            <w:tcMar>
              <w:top w:w="57" w:type="dxa"/>
              <w:left w:w="108" w:type="dxa"/>
              <w:bottom w:w="57" w:type="dxa"/>
              <w:right w:w="108" w:type="dxa"/>
            </w:tcMar>
          </w:tcPr>
          <w:p w14:paraId="19F1A74D" w14:textId="77777777" w:rsidR="00055D69" w:rsidRDefault="00570CE0">
            <w:r>
              <w:rPr>
                <w:rFonts w:ascii="Arial" w:hAnsi="Arial" w:cs="Arial"/>
                <w:bCs/>
                <w:sz w:val="24"/>
                <w:szCs w:val="24"/>
              </w:rPr>
              <w:t>Flexible</w:t>
            </w:r>
          </w:p>
        </w:tc>
      </w:tr>
      <w:tr w:rsidR="00055D69" w14:paraId="19F1A751" w14:textId="77777777">
        <w:tblPrEx>
          <w:tblCellMar>
            <w:top w:w="0" w:type="dxa"/>
            <w:bottom w:w="0" w:type="dxa"/>
          </w:tblCellMar>
        </w:tblPrEx>
        <w:tc>
          <w:tcPr>
            <w:tcW w:w="3227" w:type="dxa"/>
            <w:tcMar>
              <w:top w:w="57" w:type="dxa"/>
              <w:left w:w="108" w:type="dxa"/>
              <w:bottom w:w="57" w:type="dxa"/>
              <w:right w:w="108" w:type="dxa"/>
            </w:tcMar>
          </w:tcPr>
          <w:p w14:paraId="19F1A74F" w14:textId="77777777" w:rsidR="00055D69" w:rsidRDefault="00570CE0">
            <w:pPr>
              <w:rPr>
                <w:rFonts w:ascii="Arial" w:hAnsi="Arial" w:cs="Arial"/>
                <w:b/>
                <w:sz w:val="24"/>
                <w:szCs w:val="24"/>
              </w:rPr>
            </w:pPr>
            <w:r>
              <w:rPr>
                <w:rFonts w:ascii="Arial" w:hAnsi="Arial" w:cs="Arial"/>
                <w:b/>
                <w:sz w:val="24"/>
                <w:szCs w:val="24"/>
              </w:rPr>
              <w:t>Responsible to:</w:t>
            </w:r>
          </w:p>
        </w:tc>
        <w:tc>
          <w:tcPr>
            <w:tcW w:w="5833" w:type="dxa"/>
            <w:tcMar>
              <w:top w:w="57" w:type="dxa"/>
              <w:left w:w="108" w:type="dxa"/>
              <w:bottom w:w="57" w:type="dxa"/>
              <w:right w:w="108" w:type="dxa"/>
            </w:tcMar>
          </w:tcPr>
          <w:p w14:paraId="19F1A750" w14:textId="77777777" w:rsidR="00055D69" w:rsidRDefault="00570CE0">
            <w:r>
              <w:rPr>
                <w:rFonts w:ascii="Arial" w:hAnsi="Arial" w:cs="Arial"/>
                <w:bCs/>
                <w:sz w:val="24"/>
                <w:szCs w:val="24"/>
              </w:rPr>
              <w:t>Director of Communications &amp; Engagement</w:t>
            </w:r>
          </w:p>
        </w:tc>
      </w:tr>
      <w:tr w:rsidR="00055D69" w14:paraId="19F1A757" w14:textId="77777777">
        <w:tblPrEx>
          <w:tblCellMar>
            <w:top w:w="0" w:type="dxa"/>
            <w:bottom w:w="0" w:type="dxa"/>
          </w:tblCellMar>
        </w:tblPrEx>
        <w:tc>
          <w:tcPr>
            <w:tcW w:w="3227" w:type="dxa"/>
            <w:tcMar>
              <w:top w:w="57" w:type="dxa"/>
              <w:left w:w="108" w:type="dxa"/>
              <w:bottom w:w="57" w:type="dxa"/>
              <w:right w:w="108" w:type="dxa"/>
            </w:tcMar>
          </w:tcPr>
          <w:p w14:paraId="19F1A752" w14:textId="77777777" w:rsidR="00055D69" w:rsidRDefault="00570CE0">
            <w:pPr>
              <w:rPr>
                <w:rFonts w:ascii="Arial" w:hAnsi="Arial" w:cs="Arial"/>
                <w:b/>
                <w:sz w:val="24"/>
                <w:szCs w:val="24"/>
              </w:rPr>
            </w:pPr>
            <w:r>
              <w:rPr>
                <w:rFonts w:ascii="Arial" w:hAnsi="Arial" w:cs="Arial"/>
                <w:b/>
                <w:sz w:val="24"/>
                <w:szCs w:val="24"/>
              </w:rPr>
              <w:t>Responsible for:</w:t>
            </w:r>
          </w:p>
          <w:p w14:paraId="19F1A753" w14:textId="77777777" w:rsidR="00055D69" w:rsidRDefault="00055D69">
            <w:pPr>
              <w:rPr>
                <w:rFonts w:ascii="Arial" w:hAnsi="Arial" w:cs="Arial"/>
                <w:b/>
                <w:sz w:val="24"/>
                <w:szCs w:val="24"/>
              </w:rPr>
            </w:pPr>
          </w:p>
        </w:tc>
        <w:tc>
          <w:tcPr>
            <w:tcW w:w="5833" w:type="dxa"/>
            <w:tcMar>
              <w:top w:w="57" w:type="dxa"/>
              <w:left w:w="108" w:type="dxa"/>
              <w:bottom w:w="57" w:type="dxa"/>
              <w:right w:w="108" w:type="dxa"/>
            </w:tcMar>
          </w:tcPr>
          <w:p w14:paraId="19F1A754" w14:textId="77777777" w:rsidR="00055D69" w:rsidRDefault="00570CE0">
            <w:pPr>
              <w:rPr>
                <w:rFonts w:ascii="Arial" w:hAnsi="Arial" w:cs="Arial"/>
                <w:bCs/>
                <w:sz w:val="24"/>
                <w:szCs w:val="24"/>
              </w:rPr>
            </w:pPr>
            <w:r>
              <w:rPr>
                <w:rFonts w:ascii="Arial" w:hAnsi="Arial" w:cs="Arial"/>
                <w:bCs/>
                <w:sz w:val="24"/>
                <w:szCs w:val="24"/>
              </w:rPr>
              <w:t xml:space="preserve">Head of Community Heritage, Learning &amp; Inclusion </w:t>
            </w:r>
          </w:p>
          <w:p w14:paraId="19F1A755" w14:textId="77777777" w:rsidR="00055D69" w:rsidRDefault="00570CE0">
            <w:pPr>
              <w:rPr>
                <w:rFonts w:ascii="Arial" w:hAnsi="Arial" w:cs="Arial"/>
                <w:bCs/>
                <w:sz w:val="24"/>
                <w:szCs w:val="24"/>
              </w:rPr>
            </w:pPr>
            <w:r>
              <w:rPr>
                <w:rFonts w:ascii="Arial" w:hAnsi="Arial" w:cs="Arial"/>
                <w:bCs/>
                <w:sz w:val="24"/>
                <w:szCs w:val="24"/>
              </w:rPr>
              <w:t xml:space="preserve">Head of Participation Programmes </w:t>
            </w:r>
          </w:p>
          <w:p w14:paraId="19F1A756" w14:textId="77777777" w:rsidR="00055D69" w:rsidRDefault="00570CE0">
            <w:r>
              <w:rPr>
                <w:rFonts w:ascii="Arial" w:hAnsi="Arial" w:cs="Arial"/>
                <w:bCs/>
                <w:sz w:val="24"/>
                <w:szCs w:val="24"/>
              </w:rPr>
              <w:t xml:space="preserve">Head of Archive &amp; </w:t>
            </w:r>
            <w:r>
              <w:rPr>
                <w:rFonts w:ascii="Arial" w:hAnsi="Arial" w:cs="Arial"/>
                <w:bCs/>
                <w:sz w:val="24"/>
                <w:szCs w:val="24"/>
              </w:rPr>
              <w:t>Library</w:t>
            </w:r>
          </w:p>
        </w:tc>
      </w:tr>
      <w:tr w:rsidR="00055D69" w14:paraId="19F1A75A" w14:textId="77777777">
        <w:tblPrEx>
          <w:tblCellMar>
            <w:top w:w="0" w:type="dxa"/>
            <w:bottom w:w="0" w:type="dxa"/>
          </w:tblCellMar>
        </w:tblPrEx>
        <w:tc>
          <w:tcPr>
            <w:tcW w:w="3227" w:type="dxa"/>
            <w:tcMar>
              <w:top w:w="57" w:type="dxa"/>
              <w:left w:w="108" w:type="dxa"/>
              <w:bottom w:w="57" w:type="dxa"/>
              <w:right w:w="108" w:type="dxa"/>
            </w:tcMar>
          </w:tcPr>
          <w:p w14:paraId="19F1A758" w14:textId="77777777" w:rsidR="00055D69" w:rsidRDefault="00570CE0">
            <w:pPr>
              <w:rPr>
                <w:rFonts w:ascii="Arial" w:hAnsi="Arial" w:cs="Arial"/>
                <w:b/>
                <w:sz w:val="24"/>
                <w:szCs w:val="24"/>
              </w:rPr>
            </w:pPr>
            <w:r>
              <w:rPr>
                <w:rFonts w:ascii="Arial" w:hAnsi="Arial" w:cs="Arial"/>
                <w:b/>
                <w:sz w:val="24"/>
                <w:szCs w:val="24"/>
              </w:rPr>
              <w:t>Pay Band:</w:t>
            </w:r>
          </w:p>
        </w:tc>
        <w:tc>
          <w:tcPr>
            <w:tcW w:w="5833" w:type="dxa"/>
            <w:tcMar>
              <w:top w:w="57" w:type="dxa"/>
              <w:left w:w="108" w:type="dxa"/>
              <w:bottom w:w="57" w:type="dxa"/>
              <w:right w:w="108" w:type="dxa"/>
            </w:tcMar>
          </w:tcPr>
          <w:p w14:paraId="19F1A759" w14:textId="77777777" w:rsidR="00055D69" w:rsidRDefault="00570CE0">
            <w:pPr>
              <w:rPr>
                <w:rFonts w:ascii="Arial" w:hAnsi="Arial" w:cs="Arial"/>
                <w:bCs/>
                <w:sz w:val="24"/>
                <w:szCs w:val="24"/>
              </w:rPr>
            </w:pPr>
            <w:r>
              <w:rPr>
                <w:rFonts w:ascii="Arial" w:hAnsi="Arial" w:cs="Arial"/>
                <w:bCs/>
                <w:sz w:val="24"/>
                <w:szCs w:val="24"/>
              </w:rPr>
              <w:t>Director</w:t>
            </w:r>
          </w:p>
        </w:tc>
      </w:tr>
    </w:tbl>
    <w:p w14:paraId="19F1A75B" w14:textId="77777777" w:rsidR="00055D69" w:rsidRDefault="00055D69">
      <w:pPr>
        <w:rPr>
          <w:rFonts w:ascii="Arial" w:hAnsi="Arial" w:cs="Arial"/>
          <w:b/>
          <w:sz w:val="24"/>
          <w:szCs w:val="24"/>
        </w:rPr>
      </w:pPr>
    </w:p>
    <w:p w14:paraId="19F1A75C" w14:textId="77777777" w:rsidR="00055D69" w:rsidRDefault="00570CE0">
      <w:pPr>
        <w:rPr>
          <w:rFonts w:ascii="Arial" w:hAnsi="Arial" w:cs="Arial"/>
          <w:b/>
          <w:sz w:val="24"/>
          <w:szCs w:val="24"/>
        </w:rPr>
      </w:pPr>
      <w:r>
        <w:rPr>
          <w:rFonts w:ascii="Arial" w:hAnsi="Arial" w:cs="Arial"/>
          <w:b/>
          <w:sz w:val="24"/>
          <w:szCs w:val="24"/>
        </w:rPr>
        <w:t>Overall purpose of the job:</w:t>
      </w:r>
    </w:p>
    <w:p w14:paraId="19F1A75D" w14:textId="77777777" w:rsidR="00055D69" w:rsidRDefault="00570CE0">
      <w:pPr>
        <w:rPr>
          <w:rFonts w:ascii="Arial" w:hAnsi="Arial" w:cs="Arial"/>
          <w:bCs/>
          <w:sz w:val="24"/>
          <w:szCs w:val="24"/>
        </w:rPr>
      </w:pPr>
      <w:r>
        <w:rPr>
          <w:rFonts w:ascii="Arial" w:hAnsi="Arial" w:cs="Arial"/>
          <w:bCs/>
          <w:sz w:val="24"/>
          <w:szCs w:val="24"/>
        </w:rPr>
        <w:t xml:space="preserve">The Participation &amp; Learning Director is responsible for developing and embedding strategies and programmes that help people across England to discover and connect with their heritage, </w:t>
      </w:r>
      <w:r>
        <w:rPr>
          <w:rFonts w:ascii="Arial" w:hAnsi="Arial" w:cs="Arial"/>
          <w:bCs/>
          <w:sz w:val="24"/>
          <w:szCs w:val="24"/>
        </w:rPr>
        <w:t>increasing engagement with Historic England (HE) and the historic environment through our nationally important Archive collections and engagement programmes, which include learning (Heritage Schools), community engagement, inclusion grants and participation programmes (e.g. Blue Plaques).  Through the power of partnership, storytelling, capacity building and audience led approaches, you will lead your teams to unlock the power of heritage for people and places, embedding inclusive practice and centring soci</w:t>
      </w:r>
      <w:r>
        <w:rPr>
          <w:rFonts w:ascii="Arial" w:hAnsi="Arial" w:cs="Arial"/>
          <w:bCs/>
          <w:sz w:val="24"/>
          <w:szCs w:val="24"/>
        </w:rPr>
        <w:t>al impact.</w:t>
      </w:r>
    </w:p>
    <w:p w14:paraId="19F1A75E" w14:textId="77777777" w:rsidR="00055D69" w:rsidRDefault="00055D69">
      <w:pPr>
        <w:rPr>
          <w:rFonts w:ascii="Arial" w:hAnsi="Arial" w:cs="Arial"/>
          <w:bCs/>
          <w:sz w:val="24"/>
          <w:szCs w:val="24"/>
        </w:rPr>
      </w:pPr>
    </w:p>
    <w:p w14:paraId="19F1A75F" w14:textId="77777777" w:rsidR="00055D69" w:rsidRDefault="00570CE0">
      <w:r>
        <w:rPr>
          <w:rFonts w:ascii="Arial" w:hAnsi="Arial" w:cs="Arial"/>
          <w:bCs/>
          <w:sz w:val="24"/>
          <w:szCs w:val="24"/>
        </w:rPr>
        <w:t>Reporting to the Director of Communications and Engagement and working as part of the Communications and Engagement Leadership Team, you will help shape the direction of Historic England’s engagement and participation activity, ensuring our vision and mission are well understood and supported in society, and by key stakeholders.  As a member of the Corporate Leadership Team, you will work together with senior colleagues across Historic England to embed our strategic priorities for people and places, includi</w:t>
      </w:r>
      <w:r>
        <w:rPr>
          <w:rFonts w:ascii="Arial" w:hAnsi="Arial" w:cs="Arial"/>
          <w:bCs/>
          <w:sz w:val="24"/>
          <w:szCs w:val="24"/>
        </w:rPr>
        <w:t>ng delivery on government priorities</w:t>
      </w:r>
      <w:r>
        <w:rPr>
          <w:color w:val="C82613"/>
        </w:rPr>
        <w:t xml:space="preserve"> </w:t>
      </w:r>
      <w:r>
        <w:rPr>
          <w:rFonts w:ascii="Arial" w:hAnsi="Arial" w:cs="Arial"/>
          <w:bCs/>
          <w:sz w:val="24"/>
          <w:szCs w:val="24"/>
        </w:rPr>
        <w:t xml:space="preserve">and income generation opportunities. </w:t>
      </w:r>
    </w:p>
    <w:p w14:paraId="19F1A760" w14:textId="77777777" w:rsidR="00055D69" w:rsidRDefault="00055D69">
      <w:pPr>
        <w:rPr>
          <w:rFonts w:ascii="Arial" w:hAnsi="Arial" w:cs="Arial"/>
          <w:bCs/>
          <w:sz w:val="24"/>
          <w:szCs w:val="24"/>
        </w:rPr>
      </w:pPr>
    </w:p>
    <w:p w14:paraId="19F1A761" w14:textId="77777777" w:rsidR="00055D69" w:rsidRDefault="00570CE0">
      <w:r>
        <w:rPr>
          <w:rFonts w:ascii="Arial" w:hAnsi="Arial" w:cs="Arial"/>
          <w:bCs/>
          <w:sz w:val="24"/>
          <w:szCs w:val="24"/>
        </w:rPr>
        <w:t xml:space="preserve">You will share your expertise and passion, ensuring the organisation’s knowledge, resources and voice are leveraged beyond Historic England, and we are actively working together with more people and partners to the benefit of people and places.  Working closely with the Marketing &amp; Digital Director, Communications Director and Philanthropy &amp; Income Development Director, you will ensure that our presence continues to grow and gain positive recognition on a national stage, with new and current audiences, and </w:t>
      </w:r>
      <w:r>
        <w:rPr>
          <w:rFonts w:ascii="Arial" w:hAnsi="Arial" w:cs="Arial"/>
          <w:bCs/>
          <w:sz w:val="24"/>
          <w:szCs w:val="24"/>
        </w:rPr>
        <w:t>that we are in an open conversation about how we can all work together to take action for heritage and the historic environment.  You</w:t>
      </w:r>
      <w:r>
        <w:rPr>
          <w:rFonts w:ascii="Arial" w:hAnsi="Arial" w:cs="Arial"/>
        </w:rPr>
        <w:t xml:space="preserve"> </w:t>
      </w:r>
      <w:r>
        <w:rPr>
          <w:rFonts w:ascii="Arial" w:hAnsi="Arial" w:cs="Arial"/>
          <w:sz w:val="24"/>
          <w:szCs w:val="24"/>
        </w:rPr>
        <w:t>will work together with the Development Director to identify opportunities from Participation &amp; Learning to support the Income Generation Strategy, and you will work with a range of internal and external senior stakeholders and community partners</w:t>
      </w:r>
    </w:p>
    <w:p w14:paraId="19F1A762" w14:textId="77777777" w:rsidR="00055D69" w:rsidRDefault="00055D69">
      <w:pPr>
        <w:pageBreakBefore/>
        <w:suppressAutoHyphens w:val="0"/>
        <w:spacing w:after="160" w:line="242" w:lineRule="auto"/>
        <w:rPr>
          <w:rFonts w:ascii="Arial" w:hAnsi="Arial" w:cs="Arial"/>
          <w:b/>
          <w:sz w:val="24"/>
          <w:szCs w:val="24"/>
        </w:rPr>
      </w:pPr>
    </w:p>
    <w:p w14:paraId="19F1A763" w14:textId="77777777" w:rsidR="00055D69" w:rsidRDefault="00570CE0">
      <w:pPr>
        <w:suppressAutoHyphens w:val="0"/>
        <w:spacing w:after="160" w:line="242" w:lineRule="auto"/>
        <w:rPr>
          <w:rFonts w:ascii="Arial" w:hAnsi="Arial" w:cs="Arial"/>
          <w:b/>
          <w:sz w:val="24"/>
          <w:szCs w:val="24"/>
        </w:rPr>
      </w:pPr>
      <w:r>
        <w:rPr>
          <w:rFonts w:ascii="Arial" w:hAnsi="Arial" w:cs="Arial"/>
          <w:b/>
          <w:sz w:val="24"/>
          <w:szCs w:val="24"/>
        </w:rPr>
        <w:t>Main duties and responsibilities:</w:t>
      </w:r>
    </w:p>
    <w:p w14:paraId="19F1A764" w14:textId="77777777" w:rsidR="00055D69" w:rsidRDefault="00570CE0">
      <w:pPr>
        <w:spacing w:before="120"/>
        <w:rPr>
          <w:rFonts w:ascii="Arial" w:hAnsi="Arial" w:cs="Arial"/>
          <w:b/>
          <w:sz w:val="24"/>
          <w:szCs w:val="24"/>
        </w:rPr>
      </w:pPr>
      <w:r>
        <w:rPr>
          <w:rFonts w:ascii="Arial" w:hAnsi="Arial" w:cs="Arial"/>
          <w:b/>
          <w:sz w:val="24"/>
          <w:szCs w:val="24"/>
        </w:rPr>
        <w:t>Strategy</w:t>
      </w:r>
    </w:p>
    <w:p w14:paraId="19F1A765"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Lead, develop and embed our Participation and Learning strategic approaches across HE, alongside other key leaders. </w:t>
      </w:r>
    </w:p>
    <w:p w14:paraId="19F1A766"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Identify, cultivate and develop strategic partnerships that deliver our strategic priorities, grow our reach and impact with target audiences, stakeholders and communities.</w:t>
      </w:r>
    </w:p>
    <w:p w14:paraId="19F1A767" w14:textId="77777777" w:rsidR="00055D69" w:rsidRDefault="00570CE0">
      <w:pPr>
        <w:numPr>
          <w:ilvl w:val="0"/>
          <w:numId w:val="1"/>
        </w:numPr>
        <w:spacing w:before="60"/>
        <w:ind w:left="425" w:hanging="425"/>
      </w:pPr>
      <w:r>
        <w:rPr>
          <w:rFonts w:ascii="Arial" w:hAnsi="Arial" w:cs="Arial"/>
          <w:sz w:val="24"/>
          <w:szCs w:val="24"/>
        </w:rPr>
        <w:t xml:space="preserve">Develop our strategic approach to improving </w:t>
      </w:r>
      <w:r>
        <w:rPr>
          <w:rStyle w:val="cf01"/>
          <w:rFonts w:ascii="Arial" w:hAnsi="Arial" w:cs="Arial"/>
          <w:sz w:val="24"/>
          <w:szCs w:val="24"/>
        </w:rPr>
        <w:t>access to our Archive collection of historic photographs</w:t>
      </w:r>
      <w:r>
        <w:rPr>
          <w:rFonts w:ascii="Arial" w:hAnsi="Arial" w:cs="Arial"/>
          <w:sz w:val="24"/>
          <w:szCs w:val="24"/>
        </w:rPr>
        <w:t xml:space="preserve">, digital learning and service delivery to maximise reach and impact, and future proof our areas of activity.  </w:t>
      </w:r>
    </w:p>
    <w:p w14:paraId="19F1A768" w14:textId="77777777" w:rsidR="00055D69" w:rsidRDefault="00055D69">
      <w:pPr>
        <w:rPr>
          <w:rFonts w:ascii="Arial" w:hAnsi="Arial" w:cs="Arial"/>
          <w:sz w:val="24"/>
          <w:szCs w:val="24"/>
        </w:rPr>
      </w:pPr>
    </w:p>
    <w:p w14:paraId="19F1A769" w14:textId="77777777" w:rsidR="00055D69" w:rsidRDefault="00570CE0">
      <w:pPr>
        <w:rPr>
          <w:rFonts w:ascii="Arial" w:hAnsi="Arial" w:cs="Arial"/>
          <w:b/>
          <w:sz w:val="24"/>
          <w:szCs w:val="24"/>
        </w:rPr>
      </w:pPr>
      <w:r>
        <w:rPr>
          <w:rFonts w:ascii="Arial" w:hAnsi="Arial" w:cs="Arial"/>
          <w:b/>
          <w:sz w:val="24"/>
          <w:szCs w:val="24"/>
        </w:rPr>
        <w:t>Leadership</w:t>
      </w:r>
    </w:p>
    <w:p w14:paraId="19F1A76A"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Lead the strategic development and delivery of participation, archive, learning and engagement activity at HE in support of strategic priorities, ensuring our work is audience led and audience relevant, and we are increasing the diversity of audiences engaging with heritage, including young people.</w:t>
      </w:r>
    </w:p>
    <w:p w14:paraId="19F1A76B"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Lead the Participation &amp; Learning teams to deliver informative, integrated, inclusive and creative engagement programmes that connect people and place through storytelling, participation and learning, </w:t>
      </w:r>
      <w:r>
        <w:rPr>
          <w:rFonts w:ascii="Arial" w:hAnsi="Arial" w:cs="Arial"/>
          <w:sz w:val="24"/>
          <w:szCs w:val="24"/>
        </w:rPr>
        <w:t xml:space="preserve">inspiring and equipping people to </w:t>
      </w:r>
      <w:proofErr w:type="gramStart"/>
      <w:r>
        <w:rPr>
          <w:rFonts w:ascii="Arial" w:hAnsi="Arial" w:cs="Arial"/>
          <w:sz w:val="24"/>
          <w:szCs w:val="24"/>
        </w:rPr>
        <w:t>take action</w:t>
      </w:r>
      <w:proofErr w:type="gramEnd"/>
      <w:r>
        <w:rPr>
          <w:rFonts w:ascii="Arial" w:hAnsi="Arial" w:cs="Arial"/>
          <w:sz w:val="24"/>
          <w:szCs w:val="24"/>
        </w:rPr>
        <w:t xml:space="preserve"> and helping to build capacity.  This includes community and youth grant programmes.</w:t>
      </w:r>
    </w:p>
    <w:p w14:paraId="19F1A76C"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With the Head of Community Heritage, Learning &amp; Inclusion and colleagues across HE, deliver the actions in the Inclusion, Diversity and Equality strategy for our people, our work and the sector and our commitment to inclusion as an embedded way of working for HE.  Role model our commitment to inclusion across our participation and learning teams. </w:t>
      </w:r>
    </w:p>
    <w:p w14:paraId="19F1A76D"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With the Head of Archive and Library, review and deliver a strategy for increasing engagement with one of the largest publicly accessible archives in the UK.</w:t>
      </w:r>
    </w:p>
    <w:p w14:paraId="19F1A76E"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Be the Senior Responsible Officer for the National Blue Plaque Scheme, including senior stakeholder liaison and accountability for successful programme delivery.</w:t>
      </w:r>
    </w:p>
    <w:p w14:paraId="19F1A76F"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Lead on the development and embedding of a social impact framework with colleagues in Communications and Engagement and the Analytics team, connecting with our work on Culture and Heritage Capital. </w:t>
      </w:r>
    </w:p>
    <w:p w14:paraId="19F1A770"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Ensure proactive engagement with key sector partners, e.g. ACE, NLHF, NLCF, etc.</w:t>
      </w:r>
    </w:p>
    <w:p w14:paraId="19F1A771"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Lead your teams to encourage mutual understanding, respect and collaboration both within Communications and Engagement and across Historic England.</w:t>
      </w:r>
    </w:p>
    <w:p w14:paraId="19F1A772" w14:textId="77777777" w:rsidR="00055D69" w:rsidRDefault="00055D69">
      <w:pPr>
        <w:rPr>
          <w:rFonts w:ascii="Arial" w:hAnsi="Arial" w:cs="Arial"/>
          <w:sz w:val="24"/>
          <w:szCs w:val="24"/>
        </w:rPr>
      </w:pPr>
    </w:p>
    <w:p w14:paraId="19F1A773" w14:textId="77777777" w:rsidR="00055D69" w:rsidRDefault="00570CE0">
      <w:pPr>
        <w:rPr>
          <w:rFonts w:ascii="Arial" w:hAnsi="Arial" w:cs="Arial"/>
          <w:b/>
          <w:sz w:val="24"/>
          <w:szCs w:val="24"/>
        </w:rPr>
      </w:pPr>
      <w:r>
        <w:rPr>
          <w:rFonts w:ascii="Arial" w:hAnsi="Arial" w:cs="Arial"/>
          <w:b/>
          <w:sz w:val="24"/>
          <w:szCs w:val="24"/>
        </w:rPr>
        <w:t>Delivery</w:t>
      </w:r>
    </w:p>
    <w:p w14:paraId="19F1A774"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Create, oversee and develop the annual and forward programme for participation, archive, community and learning activity, ensuring that it is fully integrated with Regions, Policy &amp; Evidence and Communications and Engagement activities, including projects, programmes, priorities and campaigns. </w:t>
      </w:r>
    </w:p>
    <w:p w14:paraId="19F1A775"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With the Digital Engagement team, ensure opportunities for digital engagement and participation activity are scoped, identified and maximised. </w:t>
      </w:r>
    </w:p>
    <w:p w14:paraId="19F1A776"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With the Partnerships &amp; Development team, ensure opportunities for income generation are scoped, identified and maximised.</w:t>
      </w:r>
    </w:p>
    <w:p w14:paraId="19F1A777"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lastRenderedPageBreak/>
        <w:t xml:space="preserve">Quality </w:t>
      </w:r>
      <w:proofErr w:type="gramStart"/>
      <w:r>
        <w:rPr>
          <w:rFonts w:ascii="Arial" w:hAnsi="Arial" w:cs="Arial"/>
          <w:sz w:val="24"/>
          <w:szCs w:val="24"/>
        </w:rPr>
        <w:t>assure</w:t>
      </w:r>
      <w:proofErr w:type="gramEnd"/>
      <w:r>
        <w:rPr>
          <w:rFonts w:ascii="Arial" w:hAnsi="Arial" w:cs="Arial"/>
          <w:sz w:val="24"/>
          <w:szCs w:val="24"/>
        </w:rPr>
        <w:t xml:space="preserve"> our work to the highest standard, including archive standards to maintain the Archive’s accredited archive status, and ensure that we regularly monitor and report progress across our work.</w:t>
      </w:r>
    </w:p>
    <w:p w14:paraId="19F1A778"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Manage resources within budgets, meet and achieve continuous improvement in productivity, customer service and professional excellence.</w:t>
      </w:r>
    </w:p>
    <w:p w14:paraId="19F1A779"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Use the Historic England Public Value Framework to achieve and demonstrate maximum impact for campaigns and programming across audiences. </w:t>
      </w:r>
    </w:p>
    <w:p w14:paraId="19F1A77A"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Ensure effective budget management and financial oversight of the Participation and Learning team budgets, including income generation in the archive team.</w:t>
      </w:r>
    </w:p>
    <w:p w14:paraId="19F1A77B" w14:textId="77777777" w:rsidR="00055D69" w:rsidRDefault="00055D69">
      <w:pPr>
        <w:ind w:left="360"/>
        <w:rPr>
          <w:rFonts w:ascii="Arial" w:hAnsi="Arial" w:cs="Arial"/>
          <w:sz w:val="24"/>
          <w:szCs w:val="24"/>
        </w:rPr>
      </w:pPr>
    </w:p>
    <w:p w14:paraId="19F1A77C" w14:textId="77777777" w:rsidR="00055D69" w:rsidRDefault="00570CE0">
      <w:pPr>
        <w:rPr>
          <w:rFonts w:ascii="Arial" w:hAnsi="Arial" w:cs="Arial"/>
          <w:b/>
          <w:sz w:val="24"/>
          <w:szCs w:val="24"/>
        </w:rPr>
      </w:pPr>
      <w:r>
        <w:rPr>
          <w:rFonts w:ascii="Arial" w:hAnsi="Arial" w:cs="Arial"/>
          <w:b/>
          <w:sz w:val="24"/>
          <w:szCs w:val="24"/>
        </w:rPr>
        <w:t>Cross-group working</w:t>
      </w:r>
    </w:p>
    <w:p w14:paraId="19F1A77D"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Participate in national and cross-Group projects which support strategic priorities and take a lead, where appropriate, in such projects.</w:t>
      </w:r>
    </w:p>
    <w:p w14:paraId="19F1A77E"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As part of Historic England’s Corporate Leadership Team, ensure the work of Communications and Engagement is supported and enjoyed by colleagues across the organisation.</w:t>
      </w:r>
    </w:p>
    <w:p w14:paraId="19F1A77F" w14:textId="77777777" w:rsidR="00055D69" w:rsidRDefault="00055D69">
      <w:pPr>
        <w:ind w:left="360"/>
        <w:rPr>
          <w:rFonts w:ascii="Arial" w:hAnsi="Arial" w:cs="Arial"/>
          <w:sz w:val="24"/>
          <w:szCs w:val="24"/>
        </w:rPr>
      </w:pPr>
    </w:p>
    <w:p w14:paraId="19F1A780" w14:textId="77777777" w:rsidR="00055D69" w:rsidRDefault="00570CE0">
      <w:pPr>
        <w:rPr>
          <w:rFonts w:ascii="Arial" w:hAnsi="Arial" w:cs="Arial"/>
          <w:b/>
          <w:sz w:val="24"/>
          <w:szCs w:val="24"/>
        </w:rPr>
      </w:pPr>
      <w:r>
        <w:rPr>
          <w:rFonts w:ascii="Arial" w:hAnsi="Arial" w:cs="Arial"/>
          <w:b/>
          <w:sz w:val="24"/>
          <w:szCs w:val="24"/>
        </w:rPr>
        <w:t>Learning</w:t>
      </w:r>
    </w:p>
    <w:p w14:paraId="19F1A781"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Develop knowledge and understanding of all the areas of work undertaken by the Group and organisation to offer an integrated service to internal and external customers, audiences and partners. </w:t>
      </w:r>
    </w:p>
    <w:p w14:paraId="19F1A782"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Develop internal and external networks and partnerships to further the mission of HE. </w:t>
      </w:r>
    </w:p>
    <w:p w14:paraId="19F1A783" w14:textId="77777777" w:rsidR="00055D69" w:rsidRDefault="00055D69">
      <w:pPr>
        <w:rPr>
          <w:rFonts w:ascii="Arial" w:hAnsi="Arial" w:cs="Arial"/>
          <w:sz w:val="24"/>
          <w:szCs w:val="24"/>
        </w:rPr>
      </w:pPr>
    </w:p>
    <w:p w14:paraId="19F1A784" w14:textId="77777777" w:rsidR="00055D69" w:rsidRDefault="00570CE0">
      <w:pPr>
        <w:rPr>
          <w:rFonts w:ascii="Arial" w:hAnsi="Arial" w:cs="Arial"/>
          <w:b/>
          <w:sz w:val="24"/>
          <w:szCs w:val="24"/>
        </w:rPr>
      </w:pPr>
      <w:r>
        <w:rPr>
          <w:rFonts w:ascii="Arial" w:hAnsi="Arial" w:cs="Arial"/>
          <w:b/>
          <w:sz w:val="24"/>
          <w:szCs w:val="24"/>
        </w:rPr>
        <w:t xml:space="preserve">Management </w:t>
      </w:r>
    </w:p>
    <w:p w14:paraId="19F1A785"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 xml:space="preserve">As a manager, ensure our legal obligations and the expectations set out in our policies are met, including health &amp; safety, equality &amp; diversity, finance, procurement, information security and managing people. </w:t>
      </w:r>
    </w:p>
    <w:p w14:paraId="19F1A786"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Be an exemplar for the Historic England values and behaviours.</w:t>
      </w:r>
    </w:p>
    <w:p w14:paraId="19F1A787" w14:textId="77777777" w:rsidR="00055D69" w:rsidRDefault="00570CE0">
      <w:pPr>
        <w:numPr>
          <w:ilvl w:val="0"/>
          <w:numId w:val="1"/>
        </w:numPr>
        <w:spacing w:before="60"/>
        <w:ind w:left="425" w:hanging="425"/>
        <w:rPr>
          <w:rFonts w:ascii="Arial" w:hAnsi="Arial" w:cs="Arial"/>
          <w:sz w:val="24"/>
          <w:szCs w:val="24"/>
        </w:rPr>
      </w:pPr>
      <w:r>
        <w:rPr>
          <w:rFonts w:ascii="Arial" w:hAnsi="Arial" w:cs="Arial"/>
          <w:sz w:val="24"/>
          <w:szCs w:val="24"/>
        </w:rPr>
        <w:t>Where necessary, work flexibly to cover strategic issues in response to changing national, organisational and group priorities.</w:t>
      </w:r>
    </w:p>
    <w:p w14:paraId="19F1A788" w14:textId="77777777" w:rsidR="00055D69" w:rsidRDefault="00055D69">
      <w:pPr>
        <w:ind w:left="-142" w:right="-144"/>
        <w:rPr>
          <w:rFonts w:ascii="Arial" w:hAnsi="Arial" w:cs="Arial"/>
          <w:sz w:val="24"/>
          <w:szCs w:val="24"/>
        </w:rPr>
      </w:pPr>
    </w:p>
    <w:p w14:paraId="19F1A789" w14:textId="77777777" w:rsidR="00055D69" w:rsidRDefault="00570CE0">
      <w:pPr>
        <w:ind w:right="-144"/>
        <w:rPr>
          <w:rFonts w:ascii="Arial" w:hAnsi="Arial" w:cs="Arial"/>
          <w:sz w:val="24"/>
          <w:szCs w:val="24"/>
        </w:rPr>
      </w:pPr>
      <w:r>
        <w:rPr>
          <w:rFonts w:ascii="Arial" w:hAnsi="Arial" w:cs="Arial"/>
          <w:sz w:val="24"/>
          <w:szCs w:val="24"/>
        </w:rPr>
        <w:t>This is an outline description of the duties and responsibilities involved in the job.  It is not exhaustive and may be revised from time-to-time.</w:t>
      </w:r>
      <w:r>
        <w:rPr>
          <w:rFonts w:ascii="Arial" w:hAnsi="Arial" w:cs="Arial"/>
          <w:sz w:val="24"/>
          <w:szCs w:val="24"/>
        </w:rPr>
        <w:br/>
      </w:r>
    </w:p>
    <w:p w14:paraId="19F1A78A" w14:textId="77777777" w:rsidR="00055D69" w:rsidRDefault="00055D69">
      <w:pPr>
        <w:pageBreakBefore/>
        <w:suppressAutoHyphens w:val="0"/>
        <w:spacing w:after="160" w:line="242" w:lineRule="auto"/>
        <w:rPr>
          <w:rFonts w:ascii="Arial" w:hAnsi="Arial" w:cs="Arial"/>
          <w:b/>
          <w:sz w:val="24"/>
          <w:szCs w:val="24"/>
        </w:rPr>
      </w:pPr>
    </w:p>
    <w:p w14:paraId="19F1A78B" w14:textId="77777777" w:rsidR="00055D69" w:rsidRDefault="00570CE0">
      <w:pPr>
        <w:ind w:left="-142" w:right="-144"/>
        <w:jc w:val="center"/>
      </w:pPr>
      <w:r>
        <w:rPr>
          <w:rFonts w:ascii="Arial" w:hAnsi="Arial" w:cs="Arial"/>
          <w:b/>
          <w:sz w:val="32"/>
          <w:szCs w:val="32"/>
        </w:rPr>
        <w:t>Person Specification</w:t>
      </w:r>
    </w:p>
    <w:p w14:paraId="19F1A78C" w14:textId="77777777" w:rsidR="00055D69" w:rsidRDefault="00055D69">
      <w:pPr>
        <w:rPr>
          <w:rFonts w:ascii="Arial" w:hAnsi="Arial" w:cs="Arial"/>
          <w:sz w:val="24"/>
          <w:szCs w:val="24"/>
        </w:rPr>
      </w:pPr>
    </w:p>
    <w:tbl>
      <w:tblPr>
        <w:tblW w:w="9060" w:type="dxa"/>
        <w:tblCellMar>
          <w:left w:w="10" w:type="dxa"/>
          <w:right w:w="10" w:type="dxa"/>
        </w:tblCellMar>
        <w:tblLook w:val="0000" w:firstRow="0" w:lastRow="0" w:firstColumn="0" w:lastColumn="0" w:noHBand="0" w:noVBand="0"/>
      </w:tblPr>
      <w:tblGrid>
        <w:gridCol w:w="9060"/>
      </w:tblGrid>
      <w:tr w:rsidR="00055D69" w14:paraId="19F1A78E"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shd w:val="clear" w:color="auto" w:fill="BFBFBF"/>
            <w:tcMar>
              <w:top w:w="57" w:type="dxa"/>
              <w:left w:w="108" w:type="dxa"/>
              <w:bottom w:w="57" w:type="dxa"/>
              <w:right w:w="108" w:type="dxa"/>
            </w:tcMar>
          </w:tcPr>
          <w:p w14:paraId="19F1A78D" w14:textId="77777777" w:rsidR="00055D69" w:rsidRDefault="00570CE0">
            <w:r>
              <w:rPr>
                <w:rFonts w:ascii="Arial" w:hAnsi="Arial" w:cs="Arial"/>
                <w:b/>
                <w:sz w:val="24"/>
                <w:szCs w:val="24"/>
              </w:rPr>
              <w:t>Training, experience &amp; qualifications</w:t>
            </w:r>
          </w:p>
        </w:tc>
      </w:tr>
      <w:tr w:rsidR="00055D69" w14:paraId="19F1A799"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F1A78F"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 xml:space="preserve">Experience of leading multi-disciplinary teams in a learning, community empowerment, participatory, collections management or engagement </w:t>
            </w:r>
            <w:r>
              <w:rPr>
                <w:rFonts w:ascii="Arial" w:hAnsi="Arial" w:cs="Arial"/>
                <w:bCs/>
                <w:sz w:val="24"/>
                <w:szCs w:val="24"/>
              </w:rPr>
              <w:t>discipline</w:t>
            </w:r>
          </w:p>
          <w:p w14:paraId="19F1A790"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successfully creating and delivering integrated engagement and/or learning activity in an arts, education, culture or heritage setting</w:t>
            </w:r>
          </w:p>
          <w:p w14:paraId="19F1A791"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storytelling and creating broad narratives that bring together the work of teams and individuals, and audience needs and interests</w:t>
            </w:r>
          </w:p>
          <w:p w14:paraId="19F1A792"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building, developing and using networks including face-to-face, digital and real-world communities of interest, to achieve strategic objectives.</w:t>
            </w:r>
          </w:p>
          <w:p w14:paraId="19F1A793"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developing service delivery at a senior level, including customer service improvement</w:t>
            </w:r>
          </w:p>
          <w:p w14:paraId="19F1A794"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project delivery, including community led approaches, and co</w:t>
            </w:r>
            <w:r>
              <w:rPr>
                <w:rFonts w:ascii="Arial" w:hAnsi="Arial" w:cs="Arial"/>
                <w:bCs/>
                <w:sz w:val="24"/>
                <w:szCs w:val="24"/>
              </w:rPr>
              <w:noBreakHyphen/>
              <w:t>creation with communities</w:t>
            </w:r>
          </w:p>
          <w:p w14:paraId="19F1A795"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Experience of quality assurance, performance management and risk management at a senior level</w:t>
            </w:r>
          </w:p>
          <w:p w14:paraId="19F1A796"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 xml:space="preserve">Experience of influencing and collaborating with a wide range of partners and senior stakeholders to achieve positive results </w:t>
            </w:r>
          </w:p>
          <w:p w14:paraId="19F1A797"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 xml:space="preserve">Experience of initiating and leading projects within a strategic framework  </w:t>
            </w:r>
          </w:p>
          <w:p w14:paraId="19F1A798" w14:textId="77777777" w:rsidR="00055D69" w:rsidRDefault="00570CE0">
            <w:pPr>
              <w:pStyle w:val="ListParagraph"/>
              <w:numPr>
                <w:ilvl w:val="0"/>
                <w:numId w:val="2"/>
              </w:numPr>
              <w:rPr>
                <w:rFonts w:ascii="Arial" w:hAnsi="Arial" w:cs="Arial"/>
                <w:bCs/>
                <w:sz w:val="24"/>
                <w:szCs w:val="24"/>
              </w:rPr>
            </w:pPr>
            <w:r>
              <w:rPr>
                <w:rFonts w:ascii="Arial" w:hAnsi="Arial" w:cs="Arial"/>
                <w:bCs/>
                <w:sz w:val="24"/>
                <w:szCs w:val="24"/>
              </w:rPr>
              <w:t xml:space="preserve">Experience of delivering digital engagement projects  </w:t>
            </w:r>
          </w:p>
        </w:tc>
      </w:tr>
      <w:tr w:rsidR="00055D69" w14:paraId="19F1A79B"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shd w:val="clear" w:color="auto" w:fill="BFBFBF"/>
            <w:tcMar>
              <w:top w:w="57" w:type="dxa"/>
              <w:left w:w="108" w:type="dxa"/>
              <w:bottom w:w="57" w:type="dxa"/>
              <w:right w:w="108" w:type="dxa"/>
            </w:tcMar>
          </w:tcPr>
          <w:p w14:paraId="19F1A79A" w14:textId="77777777" w:rsidR="00055D69" w:rsidRDefault="00570CE0">
            <w:r>
              <w:rPr>
                <w:rFonts w:ascii="Arial" w:hAnsi="Arial" w:cs="Arial"/>
                <w:b/>
                <w:sz w:val="24"/>
                <w:szCs w:val="24"/>
              </w:rPr>
              <w:t>Knowledge &amp; skills</w:t>
            </w:r>
          </w:p>
        </w:tc>
      </w:tr>
      <w:tr w:rsidR="00055D69" w14:paraId="19F1A7A4"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F1A79C" w14:textId="77777777" w:rsidR="00055D69" w:rsidRDefault="00570CE0">
            <w:pPr>
              <w:pStyle w:val="ListParagraph"/>
              <w:numPr>
                <w:ilvl w:val="0"/>
                <w:numId w:val="3"/>
              </w:numPr>
              <w:rPr>
                <w:rFonts w:ascii="Arial" w:hAnsi="Arial" w:cs="Arial"/>
                <w:bCs/>
                <w:sz w:val="24"/>
                <w:szCs w:val="24"/>
              </w:rPr>
            </w:pPr>
            <w:r>
              <w:rPr>
                <w:rFonts w:ascii="Arial" w:hAnsi="Arial" w:cs="Arial"/>
                <w:bCs/>
                <w:sz w:val="24"/>
                <w:szCs w:val="24"/>
              </w:rPr>
              <w:t xml:space="preserve">Excellent leadership and management skills, including culture change </w:t>
            </w:r>
          </w:p>
          <w:p w14:paraId="19F1A79D" w14:textId="77777777" w:rsidR="00055D69" w:rsidRDefault="00570CE0">
            <w:pPr>
              <w:numPr>
                <w:ilvl w:val="0"/>
                <w:numId w:val="3"/>
              </w:numPr>
              <w:rPr>
                <w:rFonts w:ascii="Arial" w:hAnsi="Arial" w:cs="Arial"/>
                <w:bCs/>
                <w:sz w:val="24"/>
                <w:szCs w:val="24"/>
              </w:rPr>
            </w:pPr>
            <w:r>
              <w:rPr>
                <w:rFonts w:ascii="Arial" w:hAnsi="Arial" w:cs="Arial"/>
                <w:bCs/>
                <w:sz w:val="24"/>
                <w:szCs w:val="24"/>
              </w:rPr>
              <w:t>Excellent written and spoken communication skills capable of spanning a range of audiences</w:t>
            </w:r>
          </w:p>
          <w:p w14:paraId="19F1A79E" w14:textId="77777777" w:rsidR="00055D69" w:rsidRDefault="00570CE0">
            <w:pPr>
              <w:numPr>
                <w:ilvl w:val="0"/>
                <w:numId w:val="3"/>
              </w:numPr>
              <w:rPr>
                <w:rFonts w:ascii="Arial" w:hAnsi="Arial" w:cs="Arial"/>
                <w:bCs/>
                <w:sz w:val="24"/>
                <w:szCs w:val="24"/>
              </w:rPr>
            </w:pPr>
            <w:r>
              <w:rPr>
                <w:rFonts w:ascii="Arial" w:hAnsi="Arial" w:cs="Arial"/>
                <w:bCs/>
                <w:sz w:val="24"/>
                <w:szCs w:val="24"/>
              </w:rPr>
              <w:t>Experience of leading internal engagement across teams and areas of expertise</w:t>
            </w:r>
          </w:p>
          <w:p w14:paraId="19F1A79F" w14:textId="77777777" w:rsidR="00055D69" w:rsidRDefault="00570CE0">
            <w:pPr>
              <w:numPr>
                <w:ilvl w:val="0"/>
                <w:numId w:val="3"/>
              </w:numPr>
              <w:rPr>
                <w:rFonts w:ascii="Arial" w:hAnsi="Arial" w:cs="Arial"/>
                <w:bCs/>
                <w:sz w:val="24"/>
                <w:szCs w:val="24"/>
              </w:rPr>
            </w:pPr>
            <w:r>
              <w:rPr>
                <w:rFonts w:ascii="Arial" w:hAnsi="Arial" w:cs="Arial"/>
                <w:bCs/>
                <w:sz w:val="24"/>
                <w:szCs w:val="24"/>
              </w:rPr>
              <w:t>Strategic thinking skills</w:t>
            </w:r>
          </w:p>
          <w:p w14:paraId="19F1A7A0" w14:textId="77777777" w:rsidR="00055D69" w:rsidRDefault="00570CE0">
            <w:pPr>
              <w:numPr>
                <w:ilvl w:val="0"/>
                <w:numId w:val="3"/>
              </w:numPr>
              <w:rPr>
                <w:rFonts w:ascii="Arial" w:hAnsi="Arial" w:cs="Arial"/>
                <w:bCs/>
                <w:sz w:val="24"/>
                <w:szCs w:val="24"/>
              </w:rPr>
            </w:pPr>
            <w:r>
              <w:rPr>
                <w:rFonts w:ascii="Arial" w:hAnsi="Arial" w:cs="Arial"/>
                <w:bCs/>
                <w:sz w:val="24"/>
                <w:szCs w:val="24"/>
              </w:rPr>
              <w:t>Creative problem-solving skills</w:t>
            </w:r>
          </w:p>
          <w:p w14:paraId="19F1A7A1" w14:textId="77777777" w:rsidR="00055D69" w:rsidRDefault="00570CE0">
            <w:pPr>
              <w:numPr>
                <w:ilvl w:val="0"/>
                <w:numId w:val="3"/>
              </w:numPr>
              <w:rPr>
                <w:rFonts w:ascii="Arial" w:hAnsi="Arial" w:cs="Arial"/>
                <w:bCs/>
                <w:sz w:val="24"/>
                <w:szCs w:val="24"/>
              </w:rPr>
            </w:pPr>
            <w:r>
              <w:rPr>
                <w:rFonts w:ascii="Arial" w:hAnsi="Arial" w:cs="Arial"/>
                <w:bCs/>
                <w:sz w:val="24"/>
                <w:szCs w:val="24"/>
              </w:rPr>
              <w:t>Expertise in data handling and data management</w:t>
            </w:r>
          </w:p>
          <w:p w14:paraId="19F1A7A2" w14:textId="77777777" w:rsidR="00055D69" w:rsidRDefault="00570CE0">
            <w:pPr>
              <w:numPr>
                <w:ilvl w:val="0"/>
                <w:numId w:val="3"/>
              </w:numPr>
              <w:rPr>
                <w:rFonts w:ascii="Arial" w:hAnsi="Arial" w:cs="Arial"/>
                <w:bCs/>
                <w:sz w:val="24"/>
                <w:szCs w:val="24"/>
              </w:rPr>
            </w:pPr>
            <w:r>
              <w:rPr>
                <w:rFonts w:ascii="Arial" w:hAnsi="Arial" w:cs="Arial"/>
                <w:bCs/>
                <w:sz w:val="24"/>
                <w:szCs w:val="24"/>
              </w:rPr>
              <w:t xml:space="preserve">Ability to flex between technical and strategic issues </w:t>
            </w:r>
          </w:p>
          <w:p w14:paraId="19F1A7A3" w14:textId="77777777" w:rsidR="00055D69" w:rsidRDefault="00570CE0">
            <w:pPr>
              <w:numPr>
                <w:ilvl w:val="0"/>
                <w:numId w:val="3"/>
              </w:numPr>
              <w:rPr>
                <w:rFonts w:ascii="Arial" w:hAnsi="Arial" w:cs="Arial"/>
                <w:bCs/>
                <w:sz w:val="24"/>
                <w:szCs w:val="24"/>
              </w:rPr>
            </w:pPr>
            <w:r>
              <w:rPr>
                <w:rFonts w:ascii="Arial" w:hAnsi="Arial" w:cs="Arial"/>
                <w:bCs/>
                <w:sz w:val="24"/>
                <w:szCs w:val="24"/>
              </w:rPr>
              <w:t>Entrepreneurial mindset</w:t>
            </w:r>
          </w:p>
        </w:tc>
      </w:tr>
      <w:tr w:rsidR="00055D69" w14:paraId="19F1A7A6"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shd w:val="clear" w:color="auto" w:fill="BFBFBF"/>
            <w:tcMar>
              <w:top w:w="57" w:type="dxa"/>
              <w:left w:w="108" w:type="dxa"/>
              <w:bottom w:w="57" w:type="dxa"/>
              <w:right w:w="108" w:type="dxa"/>
            </w:tcMar>
          </w:tcPr>
          <w:p w14:paraId="19F1A7A5" w14:textId="77777777" w:rsidR="00055D69" w:rsidRDefault="00570CE0">
            <w:r>
              <w:rPr>
                <w:rFonts w:ascii="Arial" w:hAnsi="Arial" w:cs="Arial"/>
                <w:b/>
                <w:sz w:val="24"/>
                <w:szCs w:val="24"/>
              </w:rPr>
              <w:t>Behaviours</w:t>
            </w:r>
          </w:p>
        </w:tc>
      </w:tr>
      <w:tr w:rsidR="00055D69" w14:paraId="19F1A7AC" w14:textId="77777777">
        <w:tblPrEx>
          <w:tblCellMar>
            <w:top w:w="0" w:type="dxa"/>
            <w:bottom w:w="0" w:type="dxa"/>
          </w:tblCellMar>
        </w:tblPrEx>
        <w:tc>
          <w:tcPr>
            <w:tcW w:w="90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F1A7A7" w14:textId="77777777" w:rsidR="00055D69" w:rsidRDefault="00570CE0">
            <w:pPr>
              <w:pStyle w:val="ListParagraph"/>
              <w:numPr>
                <w:ilvl w:val="0"/>
                <w:numId w:val="4"/>
              </w:numPr>
              <w:rPr>
                <w:rFonts w:ascii="Arial" w:hAnsi="Arial" w:cs="Arial"/>
                <w:bCs/>
                <w:sz w:val="24"/>
                <w:szCs w:val="24"/>
              </w:rPr>
            </w:pPr>
            <w:r>
              <w:rPr>
                <w:rFonts w:ascii="Arial" w:hAnsi="Arial" w:cs="Arial"/>
                <w:bCs/>
                <w:sz w:val="24"/>
                <w:szCs w:val="24"/>
              </w:rPr>
              <w:t xml:space="preserve">Self-awareness, especially in relation to impact of </w:t>
            </w:r>
            <w:r>
              <w:rPr>
                <w:rFonts w:ascii="Arial" w:hAnsi="Arial" w:cs="Arial"/>
                <w:bCs/>
                <w:sz w:val="24"/>
                <w:szCs w:val="24"/>
              </w:rPr>
              <w:t>behaviour on others</w:t>
            </w:r>
          </w:p>
          <w:p w14:paraId="19F1A7A8" w14:textId="77777777" w:rsidR="00055D69" w:rsidRDefault="00570CE0">
            <w:pPr>
              <w:pStyle w:val="ListParagraph"/>
              <w:numPr>
                <w:ilvl w:val="0"/>
                <w:numId w:val="4"/>
              </w:numPr>
              <w:rPr>
                <w:rFonts w:ascii="Arial" w:hAnsi="Arial" w:cs="Arial"/>
                <w:bCs/>
                <w:sz w:val="24"/>
                <w:szCs w:val="24"/>
              </w:rPr>
            </w:pPr>
            <w:r>
              <w:rPr>
                <w:rFonts w:ascii="Arial" w:hAnsi="Arial" w:cs="Arial"/>
                <w:bCs/>
                <w:sz w:val="24"/>
                <w:szCs w:val="24"/>
              </w:rPr>
              <w:t xml:space="preserve">Openness to making and receiving constructive criticism in pursuit of continuous improvement  </w:t>
            </w:r>
          </w:p>
          <w:p w14:paraId="19F1A7A9" w14:textId="77777777" w:rsidR="00055D69" w:rsidRDefault="00570CE0">
            <w:pPr>
              <w:pStyle w:val="ListParagraph"/>
              <w:numPr>
                <w:ilvl w:val="0"/>
                <w:numId w:val="4"/>
              </w:numPr>
              <w:rPr>
                <w:rFonts w:ascii="Arial" w:hAnsi="Arial" w:cs="Arial"/>
                <w:bCs/>
                <w:sz w:val="24"/>
                <w:szCs w:val="24"/>
              </w:rPr>
            </w:pPr>
            <w:r>
              <w:rPr>
                <w:rFonts w:ascii="Arial" w:hAnsi="Arial" w:cs="Arial"/>
                <w:bCs/>
                <w:sz w:val="24"/>
                <w:szCs w:val="24"/>
              </w:rPr>
              <w:t>Strategic thinker - able to look beyond the short-term and balance organisational objectives and audience needs to deliver results</w:t>
            </w:r>
          </w:p>
          <w:p w14:paraId="19F1A7AA" w14:textId="77777777" w:rsidR="00055D69" w:rsidRDefault="00570CE0">
            <w:pPr>
              <w:pStyle w:val="ListParagraph"/>
              <w:numPr>
                <w:ilvl w:val="0"/>
                <w:numId w:val="4"/>
              </w:numPr>
              <w:rPr>
                <w:rFonts w:ascii="Arial" w:hAnsi="Arial" w:cs="Arial"/>
                <w:bCs/>
                <w:sz w:val="24"/>
                <w:szCs w:val="24"/>
              </w:rPr>
            </w:pPr>
            <w:r>
              <w:rPr>
                <w:rFonts w:ascii="Arial" w:hAnsi="Arial" w:cs="Arial"/>
                <w:bCs/>
                <w:sz w:val="24"/>
                <w:szCs w:val="24"/>
              </w:rPr>
              <w:t>Excellent communicator – inspiring internal and external stakeholders, achieving buy-in through communicating passion, logic, insight and purpose</w:t>
            </w:r>
          </w:p>
          <w:p w14:paraId="19F1A7AB" w14:textId="77777777" w:rsidR="00055D69" w:rsidRDefault="00570CE0">
            <w:pPr>
              <w:pStyle w:val="ListParagraph"/>
              <w:numPr>
                <w:ilvl w:val="0"/>
                <w:numId w:val="4"/>
              </w:numPr>
              <w:rPr>
                <w:rFonts w:ascii="Arial" w:hAnsi="Arial" w:cs="Arial"/>
                <w:bCs/>
                <w:sz w:val="24"/>
                <w:szCs w:val="24"/>
              </w:rPr>
            </w:pPr>
            <w:r>
              <w:rPr>
                <w:rFonts w:ascii="Arial" w:hAnsi="Arial" w:cs="Arial"/>
                <w:bCs/>
                <w:sz w:val="24"/>
                <w:szCs w:val="24"/>
              </w:rPr>
              <w:t>Customer-focused and the organisation’s champion for education, archive, inclusion, participation, programming and other stakeholders</w:t>
            </w:r>
          </w:p>
        </w:tc>
      </w:tr>
    </w:tbl>
    <w:p w14:paraId="19F1A7AD" w14:textId="77777777" w:rsidR="00055D69" w:rsidRDefault="00055D69">
      <w:pPr>
        <w:rPr>
          <w:rFonts w:ascii="Arial" w:hAnsi="Arial" w:cs="Arial"/>
          <w:sz w:val="24"/>
          <w:szCs w:val="24"/>
        </w:rPr>
      </w:pPr>
    </w:p>
    <w:p w14:paraId="19F1A7AE" w14:textId="77777777" w:rsidR="00055D69" w:rsidRDefault="00570CE0">
      <w:r>
        <w:rPr>
          <w:rFonts w:ascii="Arial" w:hAnsi="Arial" w:cs="Arial"/>
          <w:sz w:val="24"/>
          <w:szCs w:val="24"/>
        </w:rPr>
        <w:t>Historic England is committed to providing equality of opportunity.  If you have a disability, we would be happy to discuss reasonable adjustments.</w:t>
      </w:r>
    </w:p>
    <w:sectPr w:rsidR="00055D69">
      <w:headerReference w:type="default" r:id="rId7"/>
      <w:footerReference w:type="default" r:id="rId8"/>
      <w:headerReference w:type="first" r:id="rId9"/>
      <w:footerReference w:type="first" r:id="rId10"/>
      <w:pgSz w:w="11906" w:h="16838"/>
      <w:pgMar w:top="1134" w:right="1418" w:bottom="992" w:left="1418" w:header="425" w:footer="4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610B" w14:textId="77777777" w:rsidR="00570CE0" w:rsidRDefault="00570CE0">
      <w:r>
        <w:separator/>
      </w:r>
    </w:p>
  </w:endnote>
  <w:endnote w:type="continuationSeparator" w:id="0">
    <w:p w14:paraId="661BA4BD" w14:textId="77777777" w:rsidR="00570CE0" w:rsidRDefault="0057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A749" w14:textId="77777777" w:rsidR="00570CE0" w:rsidRDefault="00570CE0">
    <w:pPr>
      <w:pStyle w:val="Footer"/>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A74E" w14:textId="77777777" w:rsidR="00570CE0" w:rsidRDefault="00570CE0">
    <w:pPr>
      <w:pStyle w:val="Footer"/>
      <w:rPr>
        <w:rFonts w:ascii="Source Sans Pro" w:hAnsi="Source Sans Pro"/>
      </w:rPr>
    </w:pPr>
  </w:p>
  <w:p w14:paraId="19F1A74F" w14:textId="77777777" w:rsidR="00570CE0" w:rsidRDefault="00570CE0">
    <w:pPr>
      <w:pStyle w:val="Footer"/>
      <w:rPr>
        <w:rFonts w:ascii="Arial" w:hAnsi="Arial" w:cs="Arial"/>
      </w:rPr>
    </w:pPr>
    <w:r>
      <w:rPr>
        <w:rFonts w:ascii="Arial" w:hAnsi="Arial" w:cs="Arial"/>
      </w:rPr>
      <w:t>Date created: January 2024</w:t>
    </w:r>
  </w:p>
  <w:p w14:paraId="19F1A750" w14:textId="77777777" w:rsidR="00570CE0" w:rsidRDefault="00570CE0">
    <w:pPr>
      <w:pStyle w:val="Footer"/>
      <w:rPr>
        <w:rFonts w:ascii="Arial" w:hAnsi="Arial" w:cs="Arial"/>
      </w:rPr>
    </w:pPr>
    <w:r>
      <w:rPr>
        <w:rFonts w:ascii="Arial" w:hAnsi="Arial" w:cs="Arial"/>
      </w:rPr>
      <w:t>Date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CC57" w14:textId="77777777" w:rsidR="00570CE0" w:rsidRDefault="00570CE0">
      <w:r>
        <w:rPr>
          <w:color w:val="000000"/>
        </w:rPr>
        <w:separator/>
      </w:r>
    </w:p>
  </w:footnote>
  <w:footnote w:type="continuationSeparator" w:id="0">
    <w:p w14:paraId="4502F7DE" w14:textId="77777777" w:rsidR="00570CE0" w:rsidRDefault="0057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A747" w14:textId="77777777" w:rsidR="00570CE0" w:rsidRDefault="00570C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A74B" w14:textId="77777777" w:rsidR="00570CE0" w:rsidRDefault="00570CE0">
    <w:pPr>
      <w:pStyle w:val="Header"/>
    </w:pPr>
    <w:r>
      <w:rPr>
        <w:noProof/>
      </w:rPr>
      <w:drawing>
        <wp:inline distT="0" distB="0" distL="0" distR="0" wp14:anchorId="19F1A73F" wp14:editId="19F1A740">
          <wp:extent cx="1554480" cy="603888"/>
          <wp:effectExtent l="0" t="0" r="7620" b="5712"/>
          <wp:docPr id="1592397719" name="Picture 1" descr="A black and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271" r="2271"/>
                  <a:stretch>
                    <a:fillRect/>
                  </a:stretch>
                </pic:blipFill>
                <pic:spPr>
                  <a:xfrm>
                    <a:off x="0" y="0"/>
                    <a:ext cx="1554480" cy="603888"/>
                  </a:xfrm>
                  <a:prstGeom prst="rect">
                    <a:avLst/>
                  </a:prstGeom>
                  <a:noFill/>
                  <a:ln>
                    <a:noFill/>
                    <a:prstDash/>
                  </a:ln>
                </pic:spPr>
              </pic:pic>
            </a:graphicData>
          </a:graphic>
        </wp:inline>
      </w:drawing>
    </w:r>
  </w:p>
  <w:p w14:paraId="19F1A74C" w14:textId="77777777" w:rsidR="00570CE0" w:rsidRDefault="0057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C2E52"/>
    <w:multiLevelType w:val="multilevel"/>
    <w:tmpl w:val="88582A32"/>
    <w:lvl w:ilvl="0">
      <w:start w:val="1"/>
      <w:numFmt w:val="decimal"/>
      <w:lvlText w:val="%1."/>
      <w:lvlJc w:val="left"/>
      <w:pPr>
        <w:ind w:left="720" w:hanging="72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68846099"/>
    <w:multiLevelType w:val="multilevel"/>
    <w:tmpl w:val="566836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781B6E17"/>
    <w:multiLevelType w:val="multilevel"/>
    <w:tmpl w:val="7F88FE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7E4458D6"/>
    <w:multiLevelType w:val="multilevel"/>
    <w:tmpl w:val="9A9AB7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01147012">
    <w:abstractNumId w:val="0"/>
  </w:num>
  <w:num w:numId="2" w16cid:durableId="312567666">
    <w:abstractNumId w:val="3"/>
  </w:num>
  <w:num w:numId="3" w16cid:durableId="453863921">
    <w:abstractNumId w:val="2"/>
  </w:num>
  <w:num w:numId="4" w16cid:durableId="37782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55D69"/>
    <w:rsid w:val="00055D69"/>
    <w:rsid w:val="00230B7A"/>
    <w:rsid w:val="00442727"/>
    <w:rsid w:val="00570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A73F"/>
  <w15:docId w15:val="{D5DCF489-BFC3-4F36-9E76-3FA59F93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rPr>
      <w:rFonts w:ascii="Segoe UI" w:hAnsi="Segoe UI" w:cs="Segoe UI"/>
      <w:sz w:val="18"/>
      <w:szCs w:val="18"/>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sz w:val="20"/>
      <w:szCs w:val="2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8339</Characters>
  <Application>Microsoft Office Word</Application>
  <DocSecurity>0</DocSecurity>
  <Lines>69</Lines>
  <Paragraphs>19</Paragraphs>
  <ScaleCrop>false</ScaleCrop>
  <Company>Historic England</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Tara</dc:creator>
  <dc:description/>
  <cp:lastModifiedBy>Macy Clarke</cp:lastModifiedBy>
  <cp:revision>2</cp:revision>
  <dcterms:created xsi:type="dcterms:W3CDTF">2026-07-06T11:30:00Z</dcterms:created>
  <dcterms:modified xsi:type="dcterms:W3CDTF">2026-07-06T11:30:00Z</dcterms:modified>
</cp:coreProperties>
</file>