
<file path=[Content_Types].xml><?xml version="1.0" encoding="utf-8"?>
<Types xmlns="http://schemas.openxmlformats.org/package/2006/content-types">
  <Default Extension="jpe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00731665" w:rsidRDefault="00731665" w14:paraId="2DA793DE" w14:textId="77777777">
      <w:pPr>
        <w:jc w:val="center"/>
      </w:pPr>
    </w:p>
    <w:p w:rsidR="00043DEF" w:rsidRDefault="00731665" w14:paraId="44642C79" w14:textId="0E249CFF">
      <w:pPr>
        <w:jc w:val="center"/>
      </w:pPr>
      <w:r>
        <w:rPr>
          <w:noProof/>
        </w:rPr>
        <w:drawing>
          <wp:inline distT="0" distB="0" distL="0" distR="0" wp14:anchorId="1574601E" wp14:editId="2C980FC1">
            <wp:extent cx="3474720" cy="116596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KLC logo.jpeg"/>
                    <pic:cNvPicPr/>
                  </pic:nvPicPr>
                  <pic:blipFill>
                    <a:blip r:embed="rId6"/>
                    <a:stretch>
                      <a:fillRect/>
                    </a:stretch>
                  </pic:blipFill>
                  <pic:spPr>
                    <a:xfrm>
                      <a:off x="0" y="0"/>
                      <a:ext cx="3474720" cy="1165962"/>
                    </a:xfrm>
                    <a:prstGeom prst="rect">
                      <a:avLst/>
                    </a:prstGeom>
                  </pic:spPr>
                </pic:pic>
              </a:graphicData>
            </a:graphic>
          </wp:inline>
        </w:drawing>
      </w:r>
    </w:p>
    <w:p w:rsidR="00731665" w:rsidRDefault="00731665" w14:paraId="0C9F69ED" w14:textId="77777777">
      <w:pPr>
        <w:pStyle w:val="Title"/>
      </w:pPr>
    </w:p>
    <w:p w:rsidR="00731665" w:rsidRDefault="00731665" w14:paraId="16D24A4E" w14:textId="77777777">
      <w:pPr>
        <w:pStyle w:val="Title"/>
      </w:pPr>
    </w:p>
    <w:p w:rsidRPr="00731665" w:rsidR="00043DEF" w:rsidP="00731665" w:rsidRDefault="00731665" w14:paraId="520B0A14" w14:textId="5AAF6C15">
      <w:pPr>
        <w:pStyle w:val="Title"/>
        <w:jc w:val="center"/>
        <w:rPr>
          <w:rFonts w:ascii="Aptos" w:hAnsi="Aptos"/>
          <w:color w:val="auto"/>
        </w:rPr>
      </w:pPr>
      <w:r w:rsidRPr="00731665">
        <w:rPr>
          <w:rFonts w:ascii="Aptos" w:hAnsi="Aptos"/>
          <w:color w:val="auto"/>
        </w:rPr>
        <w:t>Education Caseworker</w:t>
      </w:r>
    </w:p>
    <w:p w:rsidRPr="00731665" w:rsidR="00043DEF" w:rsidRDefault="00731665" w14:paraId="0C8E7F3B" w14:textId="7CCFB172">
      <w:pPr>
        <w:rPr>
          <w:rFonts w:ascii="Aptos" w:hAnsi="Aptos"/>
        </w:rPr>
      </w:pPr>
      <w:r w:rsidRPr="0E46C082" w:rsidR="00731665">
        <w:rPr>
          <w:rFonts w:ascii="Aptos" w:hAnsi="Aptos"/>
        </w:rPr>
        <w:t xml:space="preserve">North Kensington Law Centre (NKLC) is launching a new Education Project to support children, young people and families affected by school exclusions and Special Educational Needs (SEN). </w:t>
      </w:r>
      <w:r w:rsidRPr="0E46C082" w:rsidR="541E96A9">
        <w:rPr>
          <w:rFonts w:ascii="Aptos" w:hAnsi="Aptos"/>
        </w:rPr>
        <w:t>We are</w:t>
      </w:r>
      <w:r w:rsidRPr="0E46C082" w:rsidR="00731665">
        <w:rPr>
          <w:rFonts w:ascii="Aptos" w:hAnsi="Aptos"/>
        </w:rPr>
        <w:t xml:space="preserve"> looking for a dedicated Education Caseworker to help us deliver high</w:t>
      </w:r>
      <w:r w:rsidRPr="0E46C082" w:rsidR="00731665">
        <w:rPr>
          <w:rFonts w:ascii="Cambria Math" w:hAnsi="Cambria Math" w:cs="Cambria Math"/>
        </w:rPr>
        <w:t>‑</w:t>
      </w:r>
      <w:r w:rsidRPr="0E46C082" w:rsidR="00731665">
        <w:rPr>
          <w:rFonts w:ascii="Aptos" w:hAnsi="Aptos"/>
        </w:rPr>
        <w:t>quality advice and representation across our community.</w:t>
      </w:r>
    </w:p>
    <w:p w:rsidRPr="00731665" w:rsidR="00043DEF" w:rsidRDefault="00731665" w14:paraId="51B3A55E" w14:textId="77777777">
      <w:pPr>
        <w:pStyle w:val="Heading1"/>
        <w:rPr>
          <w:rFonts w:ascii="Aptos" w:hAnsi="Aptos"/>
          <w:color w:val="auto"/>
        </w:rPr>
      </w:pPr>
      <w:r w:rsidRPr="00731665">
        <w:rPr>
          <w:rFonts w:ascii="Aptos" w:hAnsi="Aptos"/>
          <w:color w:val="auto"/>
        </w:rPr>
        <w:t>About the role</w:t>
      </w:r>
    </w:p>
    <w:p w:rsidRPr="00731665" w:rsidR="00043DEF" w:rsidRDefault="00731665" w14:paraId="73DBE40F" w14:textId="77777777">
      <w:pPr>
        <w:pStyle w:val="ListBullet"/>
        <w:rPr>
          <w:rFonts w:ascii="Aptos" w:hAnsi="Aptos"/>
        </w:rPr>
      </w:pPr>
      <w:r w:rsidRPr="00731665">
        <w:rPr>
          <w:rFonts w:ascii="Aptos" w:hAnsi="Aptos"/>
        </w:rPr>
        <w:t>Provide timely advice to parents and carers on school exclusions and SEN/EHCP matters.</w:t>
      </w:r>
    </w:p>
    <w:p w:rsidRPr="00731665" w:rsidR="00043DEF" w:rsidRDefault="00731665" w14:paraId="55C8F647" w14:textId="77777777">
      <w:pPr>
        <w:pStyle w:val="ListBullet"/>
        <w:rPr>
          <w:rFonts w:ascii="Aptos" w:hAnsi="Aptos"/>
        </w:rPr>
      </w:pPr>
      <w:r w:rsidRPr="00731665">
        <w:rPr>
          <w:rFonts w:ascii="Aptos" w:hAnsi="Aptos"/>
        </w:rPr>
        <w:t>Represent families at exclusion hearings and SEND Tribunal appeals (with supervision and training as required).</w:t>
      </w:r>
    </w:p>
    <w:p w:rsidRPr="00731665" w:rsidR="00043DEF" w:rsidRDefault="00731665" w14:paraId="199CF21D" w14:textId="77777777">
      <w:pPr>
        <w:pStyle w:val="ListBullet"/>
        <w:rPr>
          <w:rFonts w:ascii="Aptos" w:hAnsi="Aptos"/>
        </w:rPr>
      </w:pPr>
      <w:r w:rsidRPr="00731665">
        <w:rPr>
          <w:rFonts w:ascii="Aptos" w:hAnsi="Aptos"/>
        </w:rPr>
        <w:t>Run workshops, outreach clinics and community advice sessions.</w:t>
      </w:r>
    </w:p>
    <w:p w:rsidRPr="00731665" w:rsidR="00043DEF" w:rsidRDefault="00731665" w14:paraId="350100BA" w14:textId="77777777">
      <w:pPr>
        <w:pStyle w:val="ListBullet"/>
        <w:rPr>
          <w:rFonts w:ascii="Aptos" w:hAnsi="Aptos"/>
        </w:rPr>
      </w:pPr>
      <w:r w:rsidRPr="00731665">
        <w:rPr>
          <w:rFonts w:ascii="Aptos" w:hAnsi="Aptos"/>
        </w:rPr>
        <w:t>Build strong links with local schools, community organisations and advice partners.</w:t>
      </w:r>
    </w:p>
    <w:p w:rsidRPr="00731665" w:rsidR="00043DEF" w:rsidRDefault="00731665" w14:paraId="0285B046" w14:textId="77777777">
      <w:pPr>
        <w:pStyle w:val="ListBullet"/>
        <w:rPr>
          <w:rFonts w:ascii="Aptos" w:hAnsi="Aptos"/>
        </w:rPr>
      </w:pPr>
      <w:r w:rsidRPr="00731665">
        <w:rPr>
          <w:rFonts w:ascii="Aptos" w:hAnsi="Aptos"/>
        </w:rPr>
        <w:t>Keep accurate case records and contribute to project monitoring and impact reporting.</w:t>
      </w:r>
    </w:p>
    <w:p w:rsidRPr="00731665" w:rsidR="00043DEF" w:rsidRDefault="00731665" w14:paraId="5DC81298" w14:textId="77777777">
      <w:pPr>
        <w:pStyle w:val="ListBullet"/>
        <w:rPr>
          <w:rFonts w:ascii="Aptos" w:hAnsi="Aptos"/>
        </w:rPr>
      </w:pPr>
      <w:r w:rsidRPr="0E46C082" w:rsidR="00731665">
        <w:rPr>
          <w:rFonts w:ascii="Aptos" w:hAnsi="Aptos"/>
        </w:rPr>
        <w:t>Champion fairness and equality in education.</w:t>
      </w:r>
    </w:p>
    <w:p w:rsidR="5C0E6C09" w:rsidP="0E46C082" w:rsidRDefault="5C0E6C09" w14:paraId="777DAE78" w14:textId="0710BAF0">
      <w:pPr>
        <w:pStyle w:val="ListBullet"/>
        <w:rPr>
          <w:rFonts w:ascii="Aptos" w:hAnsi="Aptos"/>
        </w:rPr>
      </w:pPr>
      <w:r w:rsidRPr="0E46C082" w:rsidR="5C0E6C09">
        <w:rPr>
          <w:rFonts w:ascii="Aptos" w:hAnsi="Aptos"/>
        </w:rPr>
        <w:t xml:space="preserve">This is a new project which is being piloted by NKLC. The successful candidate is expected to create a local </w:t>
      </w:r>
      <w:r w:rsidRPr="0E46C082" w:rsidR="700E677E">
        <w:rPr>
          <w:rFonts w:ascii="Aptos" w:hAnsi="Aptos"/>
        </w:rPr>
        <w:t>profile which will lead to the emergence of a caseload proportional to the demand.</w:t>
      </w:r>
    </w:p>
    <w:p w:rsidRPr="00731665" w:rsidR="00043DEF" w:rsidRDefault="00731665" w14:paraId="5F7E2EA8" w14:textId="77777777">
      <w:pPr>
        <w:pStyle w:val="Heading1"/>
        <w:rPr>
          <w:rFonts w:ascii="Aptos" w:hAnsi="Aptos"/>
          <w:color w:val="auto"/>
        </w:rPr>
      </w:pPr>
      <w:r w:rsidRPr="00731665">
        <w:rPr>
          <w:rFonts w:ascii="Aptos" w:hAnsi="Aptos"/>
          <w:color w:val="auto"/>
        </w:rPr>
        <w:t>About you</w:t>
      </w:r>
    </w:p>
    <w:p w:rsidRPr="00731665" w:rsidR="00043DEF" w:rsidRDefault="00731665" w14:paraId="06D0C0EC" w14:textId="77777777">
      <w:pPr>
        <w:pStyle w:val="ListBullet"/>
        <w:rPr>
          <w:rFonts w:ascii="Aptos" w:hAnsi="Aptos"/>
        </w:rPr>
      </w:pPr>
      <w:r w:rsidRPr="00731665">
        <w:rPr>
          <w:rFonts w:ascii="Aptos" w:hAnsi="Aptos"/>
        </w:rPr>
        <w:t>Experience in education law (exclusions and/or SEN). Experience may be as a caseworker, paralegal, advocate or adviser.</w:t>
      </w:r>
    </w:p>
    <w:p w:rsidRPr="00731665" w:rsidR="00043DEF" w:rsidRDefault="00731665" w14:paraId="1185C1B4" w14:textId="77777777">
      <w:pPr>
        <w:pStyle w:val="ListBullet"/>
        <w:rPr>
          <w:rFonts w:ascii="Aptos" w:hAnsi="Aptos"/>
        </w:rPr>
      </w:pPr>
      <w:r w:rsidRPr="00731665">
        <w:rPr>
          <w:rFonts w:ascii="Aptos" w:hAnsi="Aptos"/>
        </w:rPr>
        <w:t>Confidence advocating for children, young people and families.</w:t>
      </w:r>
    </w:p>
    <w:p w:rsidRPr="00731665" w:rsidR="00043DEF" w:rsidRDefault="00731665" w14:paraId="5364D10F" w14:textId="77777777">
      <w:pPr>
        <w:pStyle w:val="ListBullet"/>
        <w:rPr>
          <w:rFonts w:ascii="Aptos" w:hAnsi="Aptos"/>
        </w:rPr>
      </w:pPr>
      <w:r w:rsidRPr="00731665">
        <w:rPr>
          <w:rFonts w:ascii="Aptos" w:hAnsi="Aptos"/>
        </w:rPr>
        <w:t>Excellent communication skills with the ability to explain legal rights clearly to non</w:t>
      </w:r>
      <w:r w:rsidRPr="00731665">
        <w:rPr>
          <w:rFonts w:ascii="Cambria Math" w:hAnsi="Cambria Math" w:cs="Cambria Math"/>
        </w:rPr>
        <w:t>‑</w:t>
      </w:r>
      <w:r w:rsidRPr="00731665">
        <w:rPr>
          <w:rFonts w:ascii="Aptos" w:hAnsi="Aptos"/>
        </w:rPr>
        <w:t>specialists.</w:t>
      </w:r>
    </w:p>
    <w:p w:rsidRPr="00731665" w:rsidR="00043DEF" w:rsidRDefault="00731665" w14:paraId="5DB50EE7" w14:textId="0E4B5BA4">
      <w:pPr>
        <w:pStyle w:val="ListBullet"/>
        <w:rPr>
          <w:rFonts w:ascii="Aptos" w:hAnsi="Aptos"/>
        </w:rPr>
      </w:pPr>
      <w:r w:rsidRPr="0E46C082" w:rsidR="00731665">
        <w:rPr>
          <w:rFonts w:ascii="Aptos" w:hAnsi="Aptos"/>
        </w:rPr>
        <w:t>Commitment to social justice, equality, and trauma</w:t>
      </w:r>
      <w:r w:rsidRPr="0E46C082" w:rsidR="00731665">
        <w:rPr>
          <w:rFonts w:ascii="Cambria Math" w:hAnsi="Cambria Math" w:cs="Cambria Math"/>
        </w:rPr>
        <w:t>‑</w:t>
      </w:r>
      <w:r w:rsidRPr="0E46C082" w:rsidR="00731665">
        <w:rPr>
          <w:rFonts w:ascii="Aptos" w:hAnsi="Aptos"/>
        </w:rPr>
        <w:t>informed, child</w:t>
      </w:r>
      <w:r w:rsidRPr="0E46C082" w:rsidR="00731665">
        <w:rPr>
          <w:rFonts w:ascii="Cambria Math" w:hAnsi="Cambria Math" w:cs="Cambria Math"/>
        </w:rPr>
        <w:t>‑</w:t>
      </w:r>
      <w:r w:rsidRPr="0E46C082" w:rsidR="1E803EA5">
        <w:rPr>
          <w:rFonts w:ascii="Aptos" w:hAnsi="Aptos"/>
        </w:rPr>
        <w:t>centered</w:t>
      </w:r>
      <w:r w:rsidRPr="0E46C082" w:rsidR="00731665">
        <w:rPr>
          <w:rFonts w:ascii="Aptos" w:hAnsi="Aptos"/>
        </w:rPr>
        <w:t xml:space="preserve"> practice.</w:t>
      </w:r>
    </w:p>
    <w:p w:rsidRPr="00731665" w:rsidR="00043DEF" w:rsidRDefault="00731665" w14:paraId="0609A7B0" w14:textId="77777777">
      <w:pPr>
        <w:pStyle w:val="ListBullet"/>
        <w:rPr>
          <w:rFonts w:ascii="Aptos" w:hAnsi="Aptos"/>
        </w:rPr>
      </w:pPr>
      <w:r w:rsidRPr="00731665">
        <w:rPr>
          <w:rFonts w:ascii="Aptos" w:hAnsi="Aptos"/>
        </w:rPr>
        <w:t>Desirable: community languages; knowledge of legal aid; outreach experience; lived experience of the issues our clients face.</w:t>
      </w:r>
    </w:p>
    <w:p w:rsidRPr="00731665" w:rsidR="00043DEF" w:rsidRDefault="00731665" w14:paraId="3B72B067" w14:textId="77777777">
      <w:pPr>
        <w:pStyle w:val="Heading1"/>
        <w:rPr>
          <w:rFonts w:ascii="Aptos" w:hAnsi="Aptos"/>
          <w:color w:val="auto"/>
        </w:rPr>
      </w:pPr>
      <w:r w:rsidRPr="00731665">
        <w:rPr>
          <w:rFonts w:ascii="Aptos" w:hAnsi="Aptos"/>
          <w:color w:val="auto"/>
        </w:rPr>
        <w:t>Key details</w:t>
      </w:r>
    </w:p>
    <w:p w:rsidRPr="00731665" w:rsidR="00043DEF" w:rsidRDefault="00731665" w14:paraId="39E6325D" w14:textId="77777777">
      <w:pPr>
        <w:rPr>
          <w:rFonts w:ascii="Aptos" w:hAnsi="Aptos"/>
        </w:rPr>
      </w:pPr>
      <w:r w:rsidRPr="00731665">
        <w:rPr>
          <w:rFonts w:ascii="Aptos" w:hAnsi="Aptos"/>
          <w:b/>
        </w:rPr>
        <w:t xml:space="preserve">Location: </w:t>
      </w:r>
      <w:r w:rsidRPr="00731665">
        <w:rPr>
          <w:rFonts w:ascii="Aptos" w:hAnsi="Aptos"/>
        </w:rPr>
        <w:t>North Kensington (office</w:t>
      </w:r>
      <w:r w:rsidRPr="00731665">
        <w:rPr>
          <w:rFonts w:ascii="Cambria Math" w:hAnsi="Cambria Math" w:cs="Cambria Math"/>
        </w:rPr>
        <w:t>‑</w:t>
      </w:r>
      <w:r w:rsidRPr="00731665">
        <w:rPr>
          <w:rFonts w:ascii="Aptos" w:hAnsi="Aptos"/>
        </w:rPr>
        <w:t>based with community outreach across the borough)</w:t>
      </w:r>
    </w:p>
    <w:p w:rsidRPr="00731665" w:rsidR="00043DEF" w:rsidRDefault="00731665" w14:paraId="4F26F68C" w14:textId="77777777">
      <w:pPr>
        <w:rPr>
          <w:rFonts w:ascii="Aptos" w:hAnsi="Aptos"/>
        </w:rPr>
      </w:pPr>
      <w:r w:rsidRPr="00731665">
        <w:rPr>
          <w:rFonts w:ascii="Aptos" w:hAnsi="Aptos"/>
          <w:b/>
        </w:rPr>
        <w:t xml:space="preserve">Hours: </w:t>
      </w:r>
      <w:r w:rsidRPr="00731665">
        <w:rPr>
          <w:rFonts w:ascii="Aptos" w:hAnsi="Aptos"/>
        </w:rPr>
        <w:t>35 hours per week (we welcome flexible or part</w:t>
      </w:r>
      <w:r w:rsidRPr="00731665">
        <w:rPr>
          <w:rFonts w:ascii="Cambria Math" w:hAnsi="Cambria Math" w:cs="Cambria Math"/>
        </w:rPr>
        <w:t>‑</w:t>
      </w:r>
      <w:r w:rsidRPr="00731665">
        <w:rPr>
          <w:rFonts w:ascii="Aptos" w:hAnsi="Aptos"/>
        </w:rPr>
        <w:t>time applications)</w:t>
      </w:r>
    </w:p>
    <w:p w:rsidRPr="00731665" w:rsidR="00043DEF" w:rsidRDefault="00731665" w14:paraId="24CD2DC1" w14:textId="77777777">
      <w:pPr>
        <w:rPr>
          <w:rFonts w:ascii="Aptos" w:hAnsi="Aptos"/>
        </w:rPr>
      </w:pPr>
      <w:r w:rsidRPr="00731665">
        <w:rPr>
          <w:rFonts w:ascii="Aptos" w:hAnsi="Aptos"/>
          <w:b/>
        </w:rPr>
        <w:t xml:space="preserve">Salary: </w:t>
      </w:r>
      <w:r w:rsidRPr="00731665">
        <w:rPr>
          <w:rFonts w:ascii="Aptos" w:hAnsi="Aptos"/>
        </w:rPr>
        <w:t>£33,000–£36,000 per annum (DOE; in line with NKLC pay scales)</w:t>
      </w:r>
    </w:p>
    <w:p w:rsidRPr="00731665" w:rsidR="00043DEF" w:rsidRDefault="00731665" w14:paraId="6E61173B" w14:textId="77777777">
      <w:pPr>
        <w:rPr>
          <w:rFonts w:ascii="Aptos" w:hAnsi="Aptos"/>
        </w:rPr>
      </w:pPr>
      <w:r w:rsidRPr="00731665">
        <w:rPr>
          <w:rFonts w:ascii="Aptos" w:hAnsi="Aptos"/>
          <w:b/>
        </w:rPr>
        <w:t xml:space="preserve">Contract: </w:t>
      </w:r>
      <w:r w:rsidRPr="00731665">
        <w:rPr>
          <w:rFonts w:ascii="Aptos" w:hAnsi="Aptos"/>
        </w:rPr>
        <w:t>Fixed</w:t>
      </w:r>
      <w:r w:rsidRPr="00731665">
        <w:rPr>
          <w:rFonts w:ascii="Cambria Math" w:hAnsi="Cambria Math" w:cs="Cambria Math"/>
        </w:rPr>
        <w:t>‑</w:t>
      </w:r>
      <w:r w:rsidRPr="00731665">
        <w:rPr>
          <w:rFonts w:ascii="Aptos" w:hAnsi="Aptos"/>
        </w:rPr>
        <w:t>term 12 months, with expectation to extend subject to funding</w:t>
      </w:r>
    </w:p>
    <w:p w:rsidRPr="00731665" w:rsidR="00043DEF" w:rsidRDefault="00731665" w14:paraId="1DC535A3" w14:textId="0E776B8C">
      <w:pPr>
        <w:rPr>
          <w:rFonts w:ascii="Aptos" w:hAnsi="Aptos"/>
        </w:rPr>
      </w:pPr>
      <w:r w:rsidRPr="0E46C082" w:rsidR="00731665">
        <w:rPr>
          <w:rFonts w:ascii="Aptos" w:hAnsi="Aptos"/>
          <w:b w:val="1"/>
          <w:bCs w:val="1"/>
        </w:rPr>
        <w:t xml:space="preserve">Reporting to: </w:t>
      </w:r>
      <w:r w:rsidRPr="0E46C082" w:rsidR="03C235D1">
        <w:rPr>
          <w:rFonts w:ascii="Aptos" w:hAnsi="Aptos"/>
          <w:b w:val="0"/>
          <w:bCs w:val="0"/>
        </w:rPr>
        <w:t>Director</w:t>
      </w:r>
    </w:p>
    <w:p w:rsidRPr="00731665" w:rsidR="00043DEF" w:rsidRDefault="00731665" w14:paraId="31A763CA" w14:textId="77777777">
      <w:pPr>
        <w:rPr>
          <w:rFonts w:ascii="Aptos" w:hAnsi="Aptos"/>
        </w:rPr>
      </w:pPr>
      <w:r w:rsidRPr="00731665">
        <w:rPr>
          <w:rFonts w:ascii="Aptos" w:hAnsi="Aptos"/>
          <w:b/>
        </w:rPr>
        <w:t xml:space="preserve">Start date: </w:t>
      </w:r>
      <w:r w:rsidRPr="00731665">
        <w:rPr>
          <w:rFonts w:ascii="Aptos" w:hAnsi="Aptos"/>
        </w:rPr>
        <w:t>As soon as possible</w:t>
      </w:r>
    </w:p>
    <w:p w:rsidRPr="00731665" w:rsidR="00043DEF" w:rsidRDefault="00731665" w14:paraId="7DAC1159" w14:textId="2D33B2E1">
      <w:pPr>
        <w:rPr>
          <w:rFonts w:ascii="Aptos" w:hAnsi="Aptos"/>
        </w:rPr>
      </w:pPr>
      <w:r w:rsidRPr="0E46C082" w:rsidR="00731665">
        <w:rPr>
          <w:rFonts w:ascii="Aptos" w:hAnsi="Aptos"/>
        </w:rPr>
        <w:t xml:space="preserve">NKLC is open to applications from candidates </w:t>
      </w:r>
      <w:r w:rsidRPr="0E46C082" w:rsidR="49462AC5">
        <w:rPr>
          <w:rFonts w:ascii="Aptos" w:hAnsi="Aptos"/>
        </w:rPr>
        <w:t>seeking flexible</w:t>
      </w:r>
      <w:r w:rsidRPr="0E46C082" w:rsidR="00731665">
        <w:rPr>
          <w:rFonts w:ascii="Aptos" w:hAnsi="Aptos"/>
        </w:rPr>
        <w:t xml:space="preserve"> working arrangements.</w:t>
      </w:r>
    </w:p>
    <w:p w:rsidRPr="00731665" w:rsidR="00043DEF" w:rsidRDefault="00731665" w14:paraId="4D2282C9" w14:textId="77777777">
      <w:pPr>
        <w:pStyle w:val="Heading1"/>
        <w:rPr>
          <w:rFonts w:ascii="Aptos" w:hAnsi="Aptos"/>
          <w:color w:val="auto"/>
        </w:rPr>
      </w:pPr>
      <w:r w:rsidRPr="00731665">
        <w:rPr>
          <w:rFonts w:ascii="Aptos" w:hAnsi="Aptos"/>
          <w:color w:val="auto"/>
        </w:rPr>
        <w:t>What we offer</w:t>
      </w:r>
    </w:p>
    <w:p w:rsidRPr="00731665" w:rsidR="00043DEF" w:rsidRDefault="00731665" w14:paraId="400031CF" w14:textId="28A5AFFB">
      <w:pPr>
        <w:pStyle w:val="ListBullet"/>
        <w:rPr>
          <w:rFonts w:ascii="Aptos" w:hAnsi="Aptos"/>
        </w:rPr>
      </w:pPr>
      <w:r w:rsidRPr="0E46C082" w:rsidR="00731665">
        <w:rPr>
          <w:rFonts w:ascii="Aptos" w:hAnsi="Aptos"/>
        </w:rPr>
        <w:t>Supportive, mission</w:t>
      </w:r>
      <w:r w:rsidRPr="0E46C082" w:rsidR="00731665">
        <w:rPr>
          <w:rFonts w:ascii="Cambria Math" w:hAnsi="Cambria Math" w:cs="Cambria Math"/>
        </w:rPr>
        <w:t>‑</w:t>
      </w:r>
      <w:r w:rsidRPr="0E46C082" w:rsidR="00731665">
        <w:rPr>
          <w:rFonts w:ascii="Aptos" w:hAnsi="Aptos"/>
        </w:rPr>
        <w:t xml:space="preserve">driven team with regular supervision and access to training &amp; </w:t>
      </w:r>
      <w:r w:rsidRPr="0E46C082" w:rsidR="2DB7B444">
        <w:rPr>
          <w:rFonts w:ascii="Aptos" w:hAnsi="Aptos"/>
        </w:rPr>
        <w:t>CPD (</w:t>
      </w:r>
      <w:r w:rsidRPr="0E46C082" w:rsidR="7BF2A9CA">
        <w:rPr>
          <w:rFonts w:ascii="Aptos" w:hAnsi="Aptos"/>
        </w:rPr>
        <w:t xml:space="preserve">where </w:t>
      </w:r>
      <w:r w:rsidRPr="0E46C082" w:rsidR="7BF2A9CA">
        <w:rPr>
          <w:rFonts w:ascii="Aptos" w:hAnsi="Aptos"/>
        </w:rPr>
        <w:t>appropriate)</w:t>
      </w:r>
      <w:r w:rsidRPr="0E46C082" w:rsidR="00731665">
        <w:rPr>
          <w:rFonts w:ascii="Aptos" w:hAnsi="Aptos"/>
        </w:rPr>
        <w:t>.</w:t>
      </w:r>
    </w:p>
    <w:p w:rsidRPr="00731665" w:rsidR="00043DEF" w:rsidRDefault="00731665" w14:paraId="71D31D23" w14:textId="5270F6ED">
      <w:pPr>
        <w:pStyle w:val="ListBullet"/>
        <w:rPr>
          <w:rFonts w:ascii="Aptos" w:hAnsi="Aptos"/>
        </w:rPr>
      </w:pPr>
      <w:r w:rsidRPr="0E46C082" w:rsidR="00731665">
        <w:rPr>
          <w:rFonts w:ascii="Aptos" w:hAnsi="Aptos"/>
        </w:rPr>
        <w:t>Benefits: 2</w:t>
      </w:r>
      <w:r w:rsidRPr="0E46C082" w:rsidR="53103059">
        <w:rPr>
          <w:rFonts w:ascii="Aptos" w:hAnsi="Aptos"/>
        </w:rPr>
        <w:t>7</w:t>
      </w:r>
      <w:r w:rsidRPr="0E46C082" w:rsidR="00731665">
        <w:rPr>
          <w:rFonts w:ascii="Aptos" w:hAnsi="Aptos"/>
        </w:rPr>
        <w:t xml:space="preserve"> days’ annual leave (plus bank </w:t>
      </w:r>
      <w:r w:rsidRPr="0E46C082" w:rsidR="2BF457B0">
        <w:rPr>
          <w:rFonts w:ascii="Aptos" w:hAnsi="Aptos"/>
        </w:rPr>
        <w:t>holidays)</w:t>
      </w:r>
      <w:r w:rsidRPr="0E46C082" w:rsidR="00731665">
        <w:rPr>
          <w:rFonts w:ascii="Aptos" w:hAnsi="Aptos"/>
        </w:rPr>
        <w:t xml:space="preserve">, </w:t>
      </w:r>
      <w:r w:rsidRPr="0E46C082" w:rsidR="4226259A">
        <w:rPr>
          <w:rFonts w:ascii="Aptos" w:hAnsi="Aptos"/>
        </w:rPr>
        <w:t xml:space="preserve">3 </w:t>
      </w:r>
      <w:r w:rsidRPr="0E46C082" w:rsidR="00731665">
        <w:rPr>
          <w:rFonts w:ascii="Aptos" w:hAnsi="Aptos"/>
        </w:rPr>
        <w:t xml:space="preserve">% employer pension contribution, employee </w:t>
      </w:r>
      <w:r w:rsidRPr="0E46C082" w:rsidR="00731665">
        <w:rPr>
          <w:rFonts w:ascii="Aptos" w:hAnsi="Aptos"/>
        </w:rPr>
        <w:t>assistance</w:t>
      </w:r>
      <w:r w:rsidRPr="0E46C082" w:rsidR="00731665">
        <w:rPr>
          <w:rFonts w:ascii="Aptos" w:hAnsi="Aptos"/>
        </w:rPr>
        <w:t xml:space="preserve"> </w:t>
      </w:r>
      <w:r w:rsidRPr="0E46C082" w:rsidR="00731665">
        <w:rPr>
          <w:rFonts w:ascii="Aptos" w:hAnsi="Aptos"/>
        </w:rPr>
        <w:t>programme</w:t>
      </w:r>
      <w:r w:rsidRPr="0E46C082" w:rsidR="00731665">
        <w:rPr>
          <w:rFonts w:ascii="Aptos" w:hAnsi="Aptos"/>
        </w:rPr>
        <w:t>, sickness policy, TOIL/flexible working</w:t>
      </w:r>
      <w:r w:rsidRPr="0E46C082" w:rsidR="7B0C6089">
        <w:rPr>
          <w:rFonts w:ascii="Aptos" w:hAnsi="Aptos"/>
        </w:rPr>
        <w:t>.</w:t>
      </w:r>
    </w:p>
    <w:p w:rsidRPr="00731665" w:rsidR="00043DEF" w:rsidRDefault="00731665" w14:paraId="4B11B70F" w14:textId="77777777">
      <w:pPr>
        <w:pStyle w:val="Heading1"/>
        <w:rPr>
          <w:rFonts w:ascii="Aptos" w:hAnsi="Aptos"/>
          <w:color w:val="auto"/>
        </w:rPr>
      </w:pPr>
      <w:r w:rsidRPr="00731665">
        <w:rPr>
          <w:rFonts w:ascii="Aptos" w:hAnsi="Aptos"/>
          <w:color w:val="auto"/>
        </w:rPr>
        <w:t>How to apply</w:t>
      </w:r>
    </w:p>
    <w:p w:rsidRPr="00731665" w:rsidR="00043DEF" w:rsidRDefault="00731665" w14:paraId="01A8914C" w14:textId="21958058">
      <w:pPr>
        <w:rPr>
          <w:rFonts w:ascii="Aptos" w:hAnsi="Aptos"/>
        </w:rPr>
      </w:pPr>
      <w:r w:rsidRPr="0E46C082" w:rsidR="00731665">
        <w:rPr>
          <w:rFonts w:ascii="Aptos" w:hAnsi="Aptos"/>
        </w:rPr>
        <w:t xml:space="preserve">Please send your CV and a cover letter (max </w:t>
      </w:r>
      <w:r w:rsidRPr="0E46C082" w:rsidR="6DFDEBC6">
        <w:rPr>
          <w:rFonts w:ascii="Aptos" w:hAnsi="Aptos"/>
        </w:rPr>
        <w:t>1</w:t>
      </w:r>
      <w:r w:rsidRPr="0E46C082" w:rsidR="00731665">
        <w:rPr>
          <w:rFonts w:ascii="Aptos" w:hAnsi="Aptos"/>
        </w:rPr>
        <w:t xml:space="preserve"> </w:t>
      </w:r>
      <w:r w:rsidRPr="0E46C082" w:rsidR="59420194">
        <w:rPr>
          <w:rFonts w:ascii="Aptos" w:hAnsi="Aptos"/>
        </w:rPr>
        <w:t>page</w:t>
      </w:r>
      <w:r w:rsidRPr="0E46C082" w:rsidR="00731665">
        <w:rPr>
          <w:rFonts w:ascii="Aptos" w:hAnsi="Aptos"/>
        </w:rPr>
        <w:t xml:space="preserve">) explaining how you meet the About </w:t>
      </w:r>
      <w:r w:rsidRPr="0E46C082" w:rsidR="37D97EEB">
        <w:rPr>
          <w:rFonts w:ascii="Aptos" w:hAnsi="Aptos"/>
        </w:rPr>
        <w:t>your</w:t>
      </w:r>
      <w:r w:rsidRPr="0E46C082" w:rsidR="00731665">
        <w:rPr>
          <w:rFonts w:ascii="Aptos" w:hAnsi="Aptos"/>
        </w:rPr>
        <w:t xml:space="preserve"> criteria to info@nklc.org.uk with the subject line “Education Caseworker – Application”.</w:t>
      </w:r>
    </w:p>
    <w:p w:rsidRPr="00731665" w:rsidR="00043DEF" w:rsidRDefault="00731665" w14:paraId="3ADAB1BA" w14:textId="4F1460E3">
      <w:pPr>
        <w:rPr>
          <w:rFonts w:ascii="Aptos" w:hAnsi="Aptos"/>
        </w:rPr>
      </w:pPr>
      <w:r w:rsidRPr="0E46C082" w:rsidR="00731665">
        <w:rPr>
          <w:rFonts w:ascii="Aptos" w:hAnsi="Aptos"/>
        </w:rPr>
        <w:t xml:space="preserve">Closing date: </w:t>
      </w:r>
      <w:r w:rsidRPr="0E46C082" w:rsidR="4FFEB8B8">
        <w:rPr>
          <w:rFonts w:ascii="Aptos" w:hAnsi="Aptos"/>
        </w:rPr>
        <w:t>Frida</w:t>
      </w:r>
      <w:r w:rsidRPr="0E46C082" w:rsidR="00731665">
        <w:rPr>
          <w:rFonts w:ascii="Aptos" w:hAnsi="Aptos"/>
        </w:rPr>
        <w:t xml:space="preserve">y </w:t>
      </w:r>
      <w:r w:rsidRPr="0E46C082" w:rsidR="766DEFC9">
        <w:rPr>
          <w:rFonts w:ascii="Aptos" w:hAnsi="Aptos"/>
        </w:rPr>
        <w:t>31</w:t>
      </w:r>
      <w:r w:rsidRPr="0E46C082" w:rsidR="2BA8ED18">
        <w:rPr>
          <w:rFonts w:ascii="Aptos" w:hAnsi="Aptos"/>
          <w:vertAlign w:val="superscript"/>
        </w:rPr>
        <w:t>st October</w:t>
      </w:r>
      <w:r w:rsidRPr="0E46C082" w:rsidR="00731665">
        <w:rPr>
          <w:rFonts w:ascii="Aptos" w:hAnsi="Aptos"/>
        </w:rPr>
        <w:t xml:space="preserve"> 2025, </w:t>
      </w:r>
      <w:r w:rsidRPr="0E46C082" w:rsidR="6A9E513D">
        <w:rPr>
          <w:rFonts w:ascii="Aptos" w:hAnsi="Aptos"/>
        </w:rPr>
        <w:t>5</w:t>
      </w:r>
      <w:r w:rsidRPr="0E46C082" w:rsidR="00731665">
        <w:rPr>
          <w:rFonts w:ascii="Aptos" w:hAnsi="Aptos"/>
        </w:rPr>
        <w:t>:00am (UK)</w:t>
      </w:r>
    </w:p>
    <w:p w:rsidRPr="00731665" w:rsidR="00043DEF" w:rsidRDefault="00731665" w14:paraId="72E11159" w14:textId="48EC6319">
      <w:pPr>
        <w:rPr>
          <w:rFonts w:ascii="Aptos" w:hAnsi="Aptos"/>
        </w:rPr>
      </w:pPr>
      <w:r w:rsidRPr="0E46C082" w:rsidR="00731665">
        <w:rPr>
          <w:rFonts w:ascii="Aptos" w:hAnsi="Aptos"/>
        </w:rPr>
        <w:t xml:space="preserve">Interviews: Week </w:t>
      </w:r>
      <w:r w:rsidRPr="0E46C082" w:rsidR="00731665">
        <w:rPr>
          <w:rFonts w:ascii="Aptos" w:hAnsi="Aptos"/>
        </w:rPr>
        <w:t>commencing</w:t>
      </w:r>
      <w:r w:rsidRPr="0E46C082" w:rsidR="00731665">
        <w:rPr>
          <w:rFonts w:ascii="Aptos" w:hAnsi="Aptos"/>
        </w:rPr>
        <w:t xml:space="preserve"> </w:t>
      </w:r>
      <w:r w:rsidRPr="0E46C082" w:rsidR="2C2F500A">
        <w:rPr>
          <w:rFonts w:ascii="Aptos" w:hAnsi="Aptos"/>
        </w:rPr>
        <w:t>10</w:t>
      </w:r>
      <w:r w:rsidRPr="0E46C082" w:rsidR="2C2F500A">
        <w:rPr>
          <w:rFonts w:ascii="Aptos" w:hAnsi="Aptos"/>
          <w:vertAlign w:val="superscript"/>
        </w:rPr>
        <w:t>th November</w:t>
      </w:r>
      <w:r w:rsidRPr="0E46C082" w:rsidR="00731665">
        <w:rPr>
          <w:rFonts w:ascii="Aptos" w:hAnsi="Aptos"/>
        </w:rPr>
        <w:t xml:space="preserve"> 2025</w:t>
      </w:r>
    </w:p>
    <w:p w:rsidRPr="00731665" w:rsidR="00043DEF" w:rsidRDefault="00731665" w14:paraId="3F637466" w14:textId="77777777">
      <w:pPr>
        <w:rPr>
          <w:rFonts w:ascii="Aptos" w:hAnsi="Aptos"/>
        </w:rPr>
      </w:pPr>
      <w:r w:rsidRPr="00731665">
        <w:rPr>
          <w:rFonts w:ascii="Aptos" w:hAnsi="Aptos"/>
        </w:rPr>
        <w:t>If you need any reasonable adjustments to take part in the application or interview process, please tell us when you apply.</w:t>
      </w:r>
    </w:p>
    <w:p w:rsidRPr="00731665" w:rsidR="00043DEF" w:rsidRDefault="00731665" w14:paraId="65754AA3" w14:textId="77777777">
      <w:pPr>
        <w:pStyle w:val="Heading1"/>
        <w:rPr>
          <w:rFonts w:ascii="Aptos" w:hAnsi="Aptos"/>
          <w:color w:val="auto"/>
        </w:rPr>
      </w:pPr>
      <w:r w:rsidRPr="00731665">
        <w:rPr>
          <w:rFonts w:ascii="Aptos" w:hAnsi="Aptos"/>
          <w:color w:val="auto"/>
        </w:rPr>
        <w:t>Safeguarding &amp; pre</w:t>
      </w:r>
      <w:r w:rsidRPr="00731665">
        <w:rPr>
          <w:rFonts w:ascii="Cambria Math" w:hAnsi="Cambria Math" w:cs="Cambria Math"/>
          <w:color w:val="auto"/>
        </w:rPr>
        <w:t>‑</w:t>
      </w:r>
      <w:r w:rsidRPr="00731665">
        <w:rPr>
          <w:rFonts w:ascii="Aptos" w:hAnsi="Aptos"/>
          <w:color w:val="auto"/>
        </w:rPr>
        <w:t>employment checks</w:t>
      </w:r>
    </w:p>
    <w:p w:rsidRPr="00731665" w:rsidR="00043DEF" w:rsidRDefault="00731665" w14:paraId="5FBD4A65" w14:textId="77777777">
      <w:pPr>
        <w:rPr>
          <w:rFonts w:ascii="Aptos" w:hAnsi="Aptos"/>
        </w:rPr>
      </w:pPr>
      <w:r w:rsidRPr="00731665">
        <w:rPr>
          <w:rFonts w:ascii="Aptos" w:hAnsi="Aptos"/>
        </w:rPr>
        <w:t>We are committed to safeguarding children and vulnerable adults. Given the client group for this role, an Enhanced DBS check will be required. Appointment is subject to satisfactory references and the right to work in the UK.</w:t>
      </w:r>
    </w:p>
    <w:p w:rsidRPr="00731665" w:rsidR="00043DEF" w:rsidRDefault="00731665" w14:paraId="7BDBF634" w14:textId="77777777">
      <w:pPr>
        <w:pStyle w:val="Heading1"/>
        <w:rPr>
          <w:rFonts w:ascii="Aptos" w:hAnsi="Aptos"/>
          <w:color w:val="auto"/>
        </w:rPr>
      </w:pPr>
      <w:r w:rsidRPr="00731665">
        <w:rPr>
          <w:rFonts w:ascii="Aptos" w:hAnsi="Aptos"/>
          <w:color w:val="auto"/>
        </w:rPr>
        <w:t>Equality, diversity &amp; inclusion</w:t>
      </w:r>
    </w:p>
    <w:p w:rsidRPr="00731665" w:rsidR="00043DEF" w:rsidRDefault="00731665" w14:paraId="40813036" w14:textId="77777777">
      <w:pPr>
        <w:rPr>
          <w:rFonts w:ascii="Aptos" w:hAnsi="Aptos"/>
        </w:rPr>
      </w:pPr>
      <w:r w:rsidRPr="00731665">
        <w:rPr>
          <w:rFonts w:ascii="Aptos" w:hAnsi="Aptos"/>
        </w:rPr>
        <w:t>NKLC is an equal opportunities employer. We welcome applications from all backgrounds and strongly encourage applications from people with lived experience of the issues faced by our clients and from under</w:t>
      </w:r>
      <w:r w:rsidRPr="00731665">
        <w:rPr>
          <w:rFonts w:ascii="Cambria Math" w:hAnsi="Cambria Math" w:cs="Cambria Math"/>
        </w:rPr>
        <w:t>‑</w:t>
      </w:r>
      <w:r w:rsidRPr="00731665">
        <w:rPr>
          <w:rFonts w:ascii="Aptos" w:hAnsi="Aptos"/>
        </w:rPr>
        <w:t>represented groups in the legal sector.</w:t>
      </w:r>
    </w:p>
    <w:p w:rsidRPr="00731665" w:rsidR="00043DEF" w:rsidRDefault="00731665" w14:paraId="37236341" w14:textId="77777777">
      <w:pPr>
        <w:pStyle w:val="Heading1"/>
        <w:rPr>
          <w:rFonts w:ascii="Aptos" w:hAnsi="Aptos"/>
          <w:color w:val="auto"/>
        </w:rPr>
      </w:pPr>
      <w:r w:rsidRPr="00731665">
        <w:rPr>
          <w:rFonts w:ascii="Aptos" w:hAnsi="Aptos"/>
          <w:color w:val="auto"/>
        </w:rPr>
        <w:t>Organisation details</w:t>
      </w:r>
    </w:p>
    <w:p w:rsidRPr="00731665" w:rsidR="00043DEF" w:rsidRDefault="00731665" w14:paraId="63A39412" w14:textId="0E318FEE">
      <w:pPr>
        <w:rPr>
          <w:rFonts w:ascii="Aptos" w:hAnsi="Aptos"/>
          <w:b/>
          <w:bCs/>
        </w:rPr>
      </w:pPr>
      <w:r w:rsidRPr="00731665">
        <w:rPr>
          <w:rFonts w:ascii="Aptos" w:hAnsi="Aptos"/>
        </w:rPr>
        <w:t xml:space="preserve">North Kensington Law Centre  </w:t>
      </w:r>
      <w:r w:rsidRPr="00731665">
        <w:rPr>
          <w:rFonts w:ascii="Aptos" w:hAnsi="Aptos"/>
        </w:rPr>
        <w:br/>
      </w:r>
      <w:r w:rsidRPr="00731665">
        <w:rPr>
          <w:rFonts w:ascii="Aptos" w:hAnsi="Aptos"/>
        </w:rPr>
        <w:t xml:space="preserve">Unit 24, Baseline Studios, Whitchurch Road, London W11 4AT  </w:t>
      </w:r>
      <w:r w:rsidRPr="00731665">
        <w:rPr>
          <w:rFonts w:ascii="Aptos" w:hAnsi="Aptos"/>
        </w:rPr>
        <w:br/>
      </w:r>
      <w:r w:rsidRPr="00731665">
        <w:rPr>
          <w:rFonts w:ascii="Aptos" w:hAnsi="Aptos"/>
        </w:rPr>
        <w:t xml:space="preserve">T: 020 8969 7473 · E: info@nklc.org.uk · www.nklc.org.uk  </w:t>
      </w:r>
      <w:r w:rsidRPr="00731665">
        <w:rPr>
          <w:rFonts w:ascii="Aptos" w:hAnsi="Aptos"/>
        </w:rPr>
        <w:br/>
      </w:r>
      <w:r w:rsidRPr="00731665">
        <w:rPr>
          <w:rFonts w:ascii="Aptos" w:hAnsi="Aptos"/>
        </w:rPr>
        <w:br/>
      </w:r>
      <w:r w:rsidRPr="00731665">
        <w:rPr>
          <w:rFonts w:ascii="Aptos" w:hAnsi="Aptos"/>
          <w:b/>
          <w:bCs/>
        </w:rPr>
        <w:t>(</w:t>
      </w:r>
      <w:r w:rsidRPr="00731665">
        <w:rPr>
          <w:rFonts w:ascii="Aptos" w:hAnsi="Aptos"/>
          <w:b/>
          <w:bCs/>
        </w:rPr>
        <w:t>Charity Registration no. 279699. Company reg. no. 1480110. VAT reg. no. 239587417.)</w:t>
      </w:r>
    </w:p>
    <w:sectPr w:rsidRPr="00731665" w:rsidR="00043DEF" w:rsidSect="00034616">
      <w:pgSz w:w="12240" w:h="15840" w:orient="portrait"/>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intelligence2.xml><?xml version="1.0" encoding="utf-8"?>
<int2:intelligence xmlns:int2="http://schemas.microsoft.com/office/intelligence/2020/intelligence">
  <int2:observations>
    <int2:textHash int2:hashCode="ni8UUdXdlt6RIo" int2:id="G21dHOPE">
      <int2:state int2:type="spell" int2:value="Rejected"/>
    </int2:textHash>
    <int2:textHash int2:hashCode="kByidkXaRxGvMx" int2:id="lbt4absO">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hint="default" w:ascii="Symbol" w:hAnsi="Symbol"/>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hint="default" w:ascii="Symbol" w:hAnsi="Symbol"/>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hint="default" w:ascii="Symbol" w:hAnsi="Symbol"/>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hint="default" w:ascii="Symbol" w:hAnsi="Symbol"/>
      </w:rPr>
    </w:lvl>
  </w:abstractNum>
  <w:num w:numId="1" w16cid:durableId="1241409417">
    <w:abstractNumId w:val="8"/>
  </w:num>
  <w:num w:numId="2" w16cid:durableId="346567869">
    <w:abstractNumId w:val="6"/>
  </w:num>
  <w:num w:numId="3" w16cid:durableId="631401659">
    <w:abstractNumId w:val="5"/>
  </w:num>
  <w:num w:numId="4" w16cid:durableId="1030498959">
    <w:abstractNumId w:val="4"/>
  </w:num>
  <w:num w:numId="5" w16cid:durableId="1119911788">
    <w:abstractNumId w:val="7"/>
  </w:num>
  <w:num w:numId="6" w16cid:durableId="1656298990">
    <w:abstractNumId w:val="3"/>
  </w:num>
  <w:num w:numId="7" w16cid:durableId="1093554575">
    <w:abstractNumId w:val="2"/>
  </w:num>
  <w:num w:numId="8" w16cid:durableId="1316451846">
    <w:abstractNumId w:val="1"/>
  </w:num>
  <w:num w:numId="9" w16cid:durableId="91234922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43DEF"/>
    <w:rsid w:val="0006063C"/>
    <w:rsid w:val="0015074B"/>
    <w:rsid w:val="0029639D"/>
    <w:rsid w:val="00326F90"/>
    <w:rsid w:val="00731665"/>
    <w:rsid w:val="008E643C"/>
    <w:rsid w:val="00AA1D8D"/>
    <w:rsid w:val="00B47730"/>
    <w:rsid w:val="00CB0664"/>
    <w:rsid w:val="00FC693F"/>
    <w:rsid w:val="03C235D1"/>
    <w:rsid w:val="03E9999B"/>
    <w:rsid w:val="0814AFD9"/>
    <w:rsid w:val="0E46C082"/>
    <w:rsid w:val="10125C26"/>
    <w:rsid w:val="12C7BAB5"/>
    <w:rsid w:val="1868F5A5"/>
    <w:rsid w:val="1CB20060"/>
    <w:rsid w:val="1E803EA5"/>
    <w:rsid w:val="226FD002"/>
    <w:rsid w:val="286E023A"/>
    <w:rsid w:val="2BA8ED18"/>
    <w:rsid w:val="2BF457B0"/>
    <w:rsid w:val="2C2F500A"/>
    <w:rsid w:val="2DB7B444"/>
    <w:rsid w:val="358A1EBA"/>
    <w:rsid w:val="37D97EEB"/>
    <w:rsid w:val="40E5450D"/>
    <w:rsid w:val="4226259A"/>
    <w:rsid w:val="49462AC5"/>
    <w:rsid w:val="4FFEB8B8"/>
    <w:rsid w:val="53103059"/>
    <w:rsid w:val="541E96A9"/>
    <w:rsid w:val="59420194"/>
    <w:rsid w:val="5C0E6C09"/>
    <w:rsid w:val="5DD58F4D"/>
    <w:rsid w:val="6A9E513D"/>
    <w:rsid w:val="6C5228AB"/>
    <w:rsid w:val="6DFDEBC6"/>
    <w:rsid w:val="6E637F1E"/>
    <w:rsid w:val="700E677E"/>
    <w:rsid w:val="75458E3D"/>
    <w:rsid w:val="7656C571"/>
    <w:rsid w:val="766DEFC9"/>
    <w:rsid w:val="7B0C6089"/>
    <w:rsid w:val="7BF2A9C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BE27D28"/>
  <w14:defaultImageDpi w14:val="300"/>
  <w15:docId w15:val="{E75D7324-7AD0-45DC-9B24-DEDAA828DA61}"/>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hAnsiTheme="majorHAnsi" w:eastAsiaTheme="majorEastAsia" w:cstheme="majorBidi"/>
      <w:b/>
      <w:bCs/>
      <w:color w:val="365F91" w:themeColor="accent1" w:themeShade="BF"/>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hAnsiTheme="majorHAnsi" w:eastAsiaTheme="majorEastAsia"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hAnsiTheme="majorHAnsi" w:eastAsiaTheme="majorEastAsia"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hAnsiTheme="majorHAnsi" w:eastAsiaTheme="majorEastAsia"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hAnsiTheme="majorHAnsi" w:eastAsiaTheme="majorEastAsia"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hAnsiTheme="majorHAnsi" w:eastAsiaTheme="majorEastAsia"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hAnsiTheme="majorHAnsi" w:eastAsiaTheme="majorEastAsia" w:cstheme="majorBidi"/>
      <w:i/>
      <w:iCs/>
      <w:color w:val="404040" w:themeColor="text1" w:themeTint="BF"/>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hAnsiTheme="majorHAnsi" w:eastAsiaTheme="majorEastAsia" w:cstheme="majorBidi"/>
      <w:b/>
      <w:bCs/>
      <w:color w:val="365F91" w:themeColor="accent1" w:themeShade="BF"/>
      <w:sz w:val="28"/>
      <w:szCs w:val="28"/>
    </w:rPr>
  </w:style>
  <w:style w:type="character" w:styleId="Heading2Char" w:customStyle="1">
    <w:name w:val="Heading 2 Char"/>
    <w:basedOn w:val="DefaultParagraphFont"/>
    <w:link w:val="Heading2"/>
    <w:uiPriority w:val="9"/>
    <w:rsid w:val="00FC693F"/>
    <w:rPr>
      <w:rFonts w:asciiTheme="majorHAnsi" w:hAnsiTheme="majorHAnsi" w:eastAsiaTheme="majorEastAsia" w:cstheme="majorBidi"/>
      <w:b/>
      <w:bCs/>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hAnsiTheme="majorHAnsi" w:eastAsiaTheme="majorEastAsia" w:cstheme="majorBidi"/>
      <w:b/>
      <w:bCs/>
      <w:color w:val="4F81BD" w:themeColor="accent1"/>
    </w:rPr>
  </w:style>
  <w:style w:type="paragraph" w:styleId="Title">
    <w:name w:val="Title"/>
    <w:basedOn w:val="Normal"/>
    <w:next w:val="Normal"/>
    <w:link w:val="TitleChar"/>
    <w:uiPriority w:val="10"/>
    <w:qFormat/>
    <w:rsid w:val="00FC693F"/>
    <w:pPr>
      <w:pBdr>
        <w:bottom w:val="single" w:color="4F81BD" w:themeColor="accent1" w:sz="8" w:space="4"/>
      </w:pBdr>
      <w:spacing w:after="300" w:line="240" w:lineRule="auto"/>
      <w:contextualSpacing/>
    </w:pPr>
    <w:rPr>
      <w:rFonts w:asciiTheme="majorHAnsi" w:hAnsiTheme="majorHAnsi" w:eastAsiaTheme="majorEastAsia" w:cstheme="majorBidi"/>
      <w:b/>
      <w:color w:val="17365D" w:themeColor="text2" w:themeShade="BF"/>
      <w:spacing w:val="5"/>
      <w:kern w:val="28"/>
      <w:sz w:val="48"/>
      <w:szCs w:val="52"/>
    </w:rPr>
  </w:style>
  <w:style w:type="character" w:styleId="TitleChar" w:customStyle="1">
    <w:name w:val="Title Char"/>
    <w:basedOn w:val="DefaultParagraphFont"/>
    <w:link w:val="Title"/>
    <w:uiPriority w:val="10"/>
    <w:rsid w:val="00FC693F"/>
    <w:rPr>
      <w:rFonts w:asciiTheme="majorHAnsi" w:hAnsiTheme="majorHAnsi" w:eastAsiaTheme="majorEastAsia"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FC693F"/>
    <w:rPr>
      <w:rFonts w:asciiTheme="majorHAnsi" w:hAnsiTheme="majorHAnsi" w:eastAsiaTheme="majorEastAsia"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styleId="QuoteChar" w:customStyle="1">
    <w:name w:val="Quote Char"/>
    <w:basedOn w:val="DefaultParagraphFont"/>
    <w:link w:val="Quote"/>
    <w:uiPriority w:val="29"/>
    <w:rsid w:val="00FC693F"/>
    <w:rPr>
      <w:i/>
      <w:iCs/>
      <w:color w:val="000000" w:themeColor="text1"/>
    </w:rPr>
  </w:style>
  <w:style w:type="character" w:styleId="Heading4Char" w:customStyle="1">
    <w:name w:val="Heading 4 Char"/>
    <w:basedOn w:val="DefaultParagraphFont"/>
    <w:link w:val="Heading4"/>
    <w:uiPriority w:val="9"/>
    <w:semiHidden/>
    <w:rsid w:val="00FC693F"/>
    <w:rPr>
      <w:rFonts w:asciiTheme="majorHAnsi" w:hAnsiTheme="majorHAnsi" w:eastAsiaTheme="majorEastAsia" w:cstheme="majorBidi"/>
      <w:b/>
      <w:bCs/>
      <w:i/>
      <w:iCs/>
      <w:color w:val="4F81BD" w:themeColor="accent1"/>
    </w:rPr>
  </w:style>
  <w:style w:type="character" w:styleId="Heading5Char" w:customStyle="1">
    <w:name w:val="Heading 5 Char"/>
    <w:basedOn w:val="DefaultParagraphFont"/>
    <w:link w:val="Heading5"/>
    <w:uiPriority w:val="9"/>
    <w:semiHidden/>
    <w:rsid w:val="00FC693F"/>
    <w:rPr>
      <w:rFonts w:asciiTheme="majorHAnsi" w:hAnsiTheme="majorHAnsi" w:eastAsiaTheme="majorEastAsia" w:cstheme="majorBidi"/>
      <w:color w:val="243F60" w:themeColor="accent1" w:themeShade="7F"/>
    </w:rPr>
  </w:style>
  <w:style w:type="character" w:styleId="Heading6Char" w:customStyle="1">
    <w:name w:val="Heading 6 Char"/>
    <w:basedOn w:val="DefaultParagraphFont"/>
    <w:link w:val="Heading6"/>
    <w:uiPriority w:val="9"/>
    <w:semiHidden/>
    <w:rsid w:val="00FC693F"/>
    <w:rPr>
      <w:rFonts w:asciiTheme="majorHAnsi" w:hAnsiTheme="majorHAnsi" w:eastAsiaTheme="majorEastAsia" w:cstheme="majorBidi"/>
      <w:i/>
      <w:iCs/>
      <w:color w:val="243F60" w:themeColor="accent1" w:themeShade="7F"/>
    </w:rPr>
  </w:style>
  <w:style w:type="character" w:styleId="Heading7Char" w:customStyle="1">
    <w:name w:val="Heading 7 Char"/>
    <w:basedOn w:val="DefaultParagraphFont"/>
    <w:link w:val="Heading7"/>
    <w:uiPriority w:val="9"/>
    <w:semiHidden/>
    <w:rsid w:val="00FC693F"/>
    <w:rPr>
      <w:rFonts w:asciiTheme="majorHAnsi" w:hAnsiTheme="majorHAnsi" w:eastAsiaTheme="majorEastAsia" w:cstheme="majorBidi"/>
      <w:i/>
      <w:iCs/>
      <w:color w:val="404040" w:themeColor="text1" w:themeTint="BF"/>
    </w:rPr>
  </w:style>
  <w:style w:type="character" w:styleId="Heading8Char" w:customStyle="1">
    <w:name w:val="Heading 8 Char"/>
    <w:basedOn w:val="DefaultParagraphFont"/>
    <w:link w:val="Heading8"/>
    <w:uiPriority w:val="9"/>
    <w:semiHidden/>
    <w:rsid w:val="00FC693F"/>
    <w:rPr>
      <w:rFonts w:asciiTheme="majorHAnsi" w:hAnsiTheme="majorHAnsi" w:eastAsiaTheme="majorEastAsia" w:cstheme="majorBidi"/>
      <w:color w:val="4F81BD" w:themeColor="accent1"/>
      <w:sz w:val="20"/>
      <w:szCs w:val="20"/>
    </w:rPr>
  </w:style>
  <w:style w:type="character" w:styleId="Heading9Char" w:customStyle="1">
    <w:name w:val="Heading 9 Char"/>
    <w:basedOn w:val="DefaultParagraphFont"/>
    <w:link w:val="Heading9"/>
    <w:uiPriority w:val="9"/>
    <w:semiHidden/>
    <w:rsid w:val="00FC693F"/>
    <w:rPr>
      <w:rFonts w:asciiTheme="majorHAnsi" w:hAnsiTheme="majorHAnsi" w:eastAsiaTheme="majorEastAsia"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color="4F81BD" w:themeColor="accent1" w:sz="4" w:space="4"/>
      </w:pBdr>
      <w:spacing w:before="200" w:after="280"/>
      <w:ind w:left="936" w:right="936"/>
    </w:pPr>
    <w:rPr>
      <w:b/>
      <w:bCs/>
      <w:i/>
      <w:iCs/>
      <w:color w:val="4F81BD" w:themeColor="accent1"/>
    </w:rPr>
  </w:style>
  <w:style w:type="character" w:styleId="IntenseQuoteChar" w:customStyle="1">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color="000000" w:themeColor="tex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color="000000" w:themeColor="tex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C0C0C0"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shd w:val="clear" w:color="auto" w:fill="C0C0C0"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color="000000" w:themeColor="text1" w:sz="8" w:space="0"/>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color="4F81BD" w:themeColor="accent1"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color="4F81BD" w:themeColor="accent1"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color="4F81BD" w:themeColor="accent1" w:sz="8" w:space="0"/>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color="C0504D" w:themeColor="accent2"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color="C0504D" w:themeColor="accent2"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2"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shd w:val="clear" w:color="auto" w:fill="EFD3D2"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color="C0504D" w:themeColor="accent2" w:sz="8" w:space="0"/>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color="9BBB59" w:themeColor="accent3"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color="9BBB59" w:themeColor="accent3"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color="9BBB59" w:themeColor="accent3" w:sz="8" w:space="0"/>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color="8064A2" w:themeColor="accent4"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color="8064A2" w:themeColor="accent4"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color="8064A2" w:themeColor="accent4" w:sz="8" w:space="0"/>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color="4BACC6" w:themeColor="accent5"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color="4BACC6" w:themeColor="accent5"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1"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shd w:val="clear" w:color="auto" w:fill="D2EAF1"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color="4BACC6" w:themeColor="accent5" w:sz="8" w:space="0"/>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color="F79646" w:themeColor="accent6"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color="F79646" w:themeColor="accent6"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4D0"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shd w:val="clear" w:color="auto" w:fill="FDE4D0"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color="F79646" w:themeColor="accent6" w:sz="8" w:space="0"/>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tblBorders>
    </w:tblPr>
    <w:tblStylePr w:type="firstRow">
      <w:pPr>
        <w:spacing w:before="0" w:after="0" w:line="240" w:lineRule="auto"/>
      </w:pPr>
      <w:rPr>
        <w:b/>
        <w:bCs/>
        <w:color w:val="FFFFFF" w:themeColor="background1"/>
      </w:rPr>
      <w:tblPr/>
      <w:tcPr>
        <w:tc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404040" w:themeColor="text1" w:themeTint="BF" w:sz="6" w:space="0"/>
          <w:left w:val="single" w:color="404040" w:themeColor="text1" w:themeTint="BF" w:sz="8" w:space="0"/>
          <w:bottom w:val="single" w:color="404040" w:themeColor="text1" w:themeTint="BF" w:sz="8" w:space="0"/>
          <w:right w:val="single" w:color="404040"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tblBorders>
    </w:tblPr>
    <w:tblStylePr w:type="firstRow">
      <w:pPr>
        <w:spacing w:before="0" w:after="0" w:line="240" w:lineRule="auto"/>
      </w:pPr>
      <w:rPr>
        <w:b/>
        <w:bCs/>
        <w:color w:val="FFFFFF" w:themeColor="background1"/>
      </w:rPr>
      <w:tblPr/>
      <w:tcPr>
        <w:tc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3CC82" w:themeColor="accent3" w:themeTint="BF" w:sz="6" w:space="0"/>
          <w:left w:val="single" w:color="B3CC82" w:themeColor="accent3" w:themeTint="BF" w:sz="8" w:space="0"/>
          <w:bottom w:val="single" w:color="B3CC82" w:themeColor="accent3" w:themeTint="BF" w:sz="8" w:space="0"/>
          <w:right w:val="single" w:color="B3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color="auto" w:sz="18" w:space="0"/>
        <w:bottom w:val="single" w:color="auto" w:sz="18" w:space="0"/>
      </w:tblBorders>
    </w:tblPr>
    <w:tblStylePr w:type="firstRow">
      <w:pPr>
        <w:spacing w:before="0" w:after="0" w:line="240" w:lineRule="auto"/>
      </w:pPr>
      <w:rPr>
        <w:b/>
        <w:bCs/>
        <w:color w:val="FFFFFF" w:themeColor="background1"/>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rPr>
      <w:tblPr/>
      <w:tcPr>
        <w:tcBorders>
          <w:top w:val="single" w:color="auto" w:sz="18" w:space="0"/>
          <w:left w:val="nil"/>
          <w:bottom w:val="single" w:color="auto" w:sz="18" w:space="0"/>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color="404040" w:themeColor="text1" w:themeTint="BF" w:sz="8" w:space="0"/>
        <w:left w:val="single" w:color="404040" w:themeColor="text1" w:themeTint="BF" w:sz="8" w:space="0"/>
        <w:bottom w:val="single" w:color="404040" w:themeColor="text1" w:themeTint="BF" w:sz="8" w:space="0"/>
        <w:right w:val="single" w:color="404040" w:themeColor="text1" w:themeTint="BF" w:sz="8" w:space="0"/>
        <w:insideH w:val="single" w:color="404040" w:themeColor="text1" w:themeTint="BF" w:sz="8" w:space="0"/>
        <w:insideV w:val="single" w:color="404040" w:themeColor="text1" w:themeTint="BF" w:sz="8" w:space="0"/>
      </w:tblBorders>
    </w:tblPr>
    <w:tcPr>
      <w:shd w:val="clear" w:color="auto" w:fill="C0C0C0" w:themeFill="text1" w:themeFillTint="3F"/>
    </w:tcPr>
    <w:tblStylePr w:type="firstRow">
      <w:rPr>
        <w:b/>
        <w:bCs/>
      </w:rPr>
    </w:tblStylePr>
    <w:tblStylePr w:type="lastRow">
      <w:rPr>
        <w:b/>
        <w:bCs/>
      </w:rPr>
      <w:tblPr/>
      <w:tcPr>
        <w:tcBorders>
          <w:top w:val="single" w:color="404040" w:themeColor="text1" w:themeTint="BF" w:sz="18" w:space="0"/>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2"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color="B3CC82" w:themeColor="accent3" w:themeTint="BF" w:sz="8" w:space="0"/>
        <w:left w:val="single" w:color="B3CC82" w:themeColor="accent3" w:themeTint="BF" w:sz="8" w:space="0"/>
        <w:bottom w:val="single" w:color="B3CC82" w:themeColor="accent3" w:themeTint="BF" w:sz="8" w:space="0"/>
        <w:right w:val="single" w:color="B3CC82" w:themeColor="accent3" w:themeTint="BF" w:sz="8" w:space="0"/>
        <w:insideH w:val="single" w:color="B3CC82" w:themeColor="accent3" w:themeTint="BF" w:sz="8" w:space="0"/>
        <w:insideV w:val="single" w:color="B3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3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1"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4D0"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color="000000" w:themeColor="text1" w:sz="6" w:space="0"/>
          <w:insideV w:val="single" w:color="000000" w:themeColor="text1" w:sz="6" w:space="0"/>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color="4F81BD" w:themeColor="accent1" w:sz="6" w:space="0"/>
          <w:insideV w:val="single" w:color="4F81BD" w:themeColor="accent1" w:sz="6" w:space="0"/>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color="C0504D" w:themeColor="accent2" w:sz="6" w:space="0"/>
          <w:insideV w:val="single" w:color="C0504D" w:themeColor="accent2" w:sz="6" w:space="0"/>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color="9BBB59" w:themeColor="accent3" w:sz="6" w:space="0"/>
          <w:insideV w:val="single" w:color="9BBB59" w:themeColor="accent3" w:sz="6" w:space="0"/>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color="8064A2" w:themeColor="accent4" w:sz="6" w:space="0"/>
          <w:insideV w:val="single" w:color="8064A2" w:themeColor="accent4" w:sz="6" w:space="0"/>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color="4BACC6" w:themeColor="accent5" w:sz="6" w:space="0"/>
          <w:insideV w:val="single" w:color="4BACC6" w:themeColor="accent5" w:sz="6" w:space="0"/>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hAnsiTheme="majorHAnsi" w:eastAsiaTheme="majorEastAsia" w:cstheme="majorBidi"/>
      <w:color w:val="000000" w:themeColor="text1"/>
    </w:rPr>
    <w:tblPr>
      <w:tblStyleRowBandSize w:val="1"/>
      <w:tblStyleColBandSize w:val="1"/>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color="F79646" w:themeColor="accent6" w:sz="6" w:space="0"/>
          <w:insideV w:val="single" w:color="F79646" w:themeColor="accent6" w:sz="6" w:space="0"/>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C0C0C0" w:themeFill="tex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000000" w:themeFill="tex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000000" w:themeFill="tex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808080"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F81BD" w:themeFill="accent1"/>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F81BD" w:themeFill="accent1"/>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BF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2" w:themeFill="accent2"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C0504D" w:themeFill="accent2"/>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C0504D" w:themeFill="accent2"/>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9BBB59" w:themeFill="accent3"/>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9BBB59" w:themeFill="accent3"/>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8064A2" w:themeFill="accent4"/>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8064A2" w:themeFill="accent4"/>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1" w:themeFill="accent5"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4BACC6" w:themeFill="accent5"/>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4BACC6" w:themeFill="accent5"/>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4D0" w:themeFill="accent6" w:themeFillTint="3F"/>
    </w:tcPr>
    <w:tblStylePr w:type="firstRow">
      <w:rPr>
        <w:b/>
        <w:bCs/>
        <w:i w:val="0"/>
        <w:iCs w:val="0"/>
        <w:color w:val="FFFFFF" w:themeColor="background1"/>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color="FFFFFF" w:themeColor="background1" w:sz="8" w:space="0"/>
        </w:tcBorders>
        <w:shd w:val="clear" w:color="auto" w:fill="F79646" w:themeFill="accent6"/>
      </w:tcPr>
    </w:tblStylePr>
    <w:tblStylePr w:type="lastRow">
      <w:rPr>
        <w:b/>
        <w:bCs/>
        <w:i w:val="0"/>
        <w:iCs w:val="0"/>
        <w:color w:val="FFFFFF" w:themeColor="background1"/>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color="FFFFFF" w:themeColor="background1" w:sz="8" w:space="0"/>
        </w:tcBorders>
        <w:shd w:val="clear" w:color="auto" w:fill="F79646" w:themeFill="accent6"/>
      </w:tcPr>
    </w:tblStylePr>
    <w:tblStylePr w:type="firstCol">
      <w:rPr>
        <w:b/>
        <w:bCs/>
        <w:i w:val="0"/>
        <w:iCs w:val="0"/>
        <w:color w:val="FFFFFF" w:themeColor="background1"/>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8" w:space="0"/>
          <w:insideV w:val="single" w:color="FFFFFF" w:themeColor="background1" w:sz="8" w:space="0"/>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5F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6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A"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6E6E6"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color="000000" w:themeColor="text1" w:themeShade="99" w:sz="4" w:space="0"/>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color="2C4C74" w:themeColor="accent1" w:themeShade="99" w:sz="4" w:space="0"/>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color="772C2A" w:themeColor="accent2" w:themeShade="99" w:sz="4" w:space="0"/>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color="5E7530" w:themeColor="accent3" w:themeShade="99" w:sz="4" w:space="0"/>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6"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color="4C3B62" w:themeColor="accent4" w:themeShade="99" w:sz="4" w:space="0"/>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color="276A7C" w:themeColor="accent5" w:themeShade="99" w:sz="4" w:space="0"/>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rPr>
      <w:tblPr/>
      <w:tcPr>
        <w:tcBorders>
          <w:top w:val="single" w:color="FFFFFF" w:themeColor="background1" w:sz="6" w:space="0"/>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color="B65608" w:themeColor="accent6" w:themeShade="99" w:sz="4" w:space="0"/>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color="FFFFFF" w:themeColor="background1" w:sz="12" w:space="0"/>
        </w:tcBorders>
        <w:shd w:val="clear" w:color="auto" w:fill="9E3A38" w:themeFill="accent2" w:themeFillShade="CC"/>
      </w:tcPr>
    </w:tblStylePr>
    <w:tblStylePr w:type="lastRow">
      <w:rPr>
        <w:b/>
        <w:bCs/>
        <w:color w:val="9E3A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color="FFFFFF" w:themeColor="background1" w:sz="12" w:space="0"/>
        </w:tcBorders>
        <w:shd w:val="clear" w:color="auto" w:fill="664E82" w:themeFill="accent4" w:themeFillShade="CC"/>
      </w:tcPr>
    </w:tblStylePr>
    <w:tblStylePr w:type="lastRow">
      <w:rPr>
        <w:b/>
        <w:bCs/>
        <w:color w:val="664E82"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color="FFFFFF" w:themeColor="background1" w:sz="12" w:space="0"/>
        </w:tcBorders>
        <w:shd w:val="clear" w:color="auto" w:fill="7E9C40" w:themeFill="accent3" w:themeFillShade="CC"/>
      </w:tcPr>
    </w:tblStylePr>
    <w:tblStylePr w:type="lastRow">
      <w:rPr>
        <w:b/>
        <w:bCs/>
        <w:color w:val="7E9C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color="FFFFFF" w:themeColor="background1" w:sz="12" w:space="0"/>
        </w:tcBorders>
        <w:shd w:val="clear" w:color="auto" w:fill="F2730A" w:themeFill="accent6" w:themeFillShade="CC"/>
      </w:tcPr>
    </w:tblStylePr>
    <w:tblStylePr w:type="lastRow">
      <w:rPr>
        <w:b/>
        <w:bCs/>
        <w:color w:val="F2730A"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color="FFFFFF" w:themeColor="background1" w:sz="12" w:space="0"/>
        </w:tcBorders>
        <w:shd w:val="clear" w:color="auto" w:fill="348DA5" w:themeFill="accent5" w:themeFillShade="CC"/>
      </w:tcPr>
    </w:tblStylePr>
    <w:tblStylePr w:type="lastRow">
      <w:rPr>
        <w:b/>
        <w:bCs/>
        <w:color w:val="348DA5"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tyles" Target="styles.xml" Id="rId3" /><Relationship Type="http://schemas.openxmlformats.org/officeDocument/2006/relationships/fontTable" Target="fontTable.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image" Target="media/image1.jpeg" Id="rId6" /><Relationship Type="http://schemas.openxmlformats.org/officeDocument/2006/relationships/webSettings" Target="webSettings.xml" Id="rId5" /><Relationship Type="http://schemas.openxmlformats.org/officeDocument/2006/relationships/settings" Target="settings.xml" Id="rId4" /><Relationship Type="http://schemas.microsoft.com/office/2020/10/relationships/intelligence" Target="intelligence2.xml" Id="R18a11e9c719c47f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python-docx</dc:creator>
  <keywords/>
  <dc:description>generated by python-docx</dc:description>
  <lastModifiedBy>Franck Kiangala (NKLC)</lastModifiedBy>
  <revision>3</revision>
  <dcterms:created xsi:type="dcterms:W3CDTF">2025-10-06T12:00:00.0000000Z</dcterms:created>
  <dcterms:modified xsi:type="dcterms:W3CDTF">2025-10-07T13:45:22.7353487Z</dcterms:modified>
  <category/>
</coreProperties>
</file>