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lineRule="auto"/>
      </w:pPr>
      <w:r>
        <w:rPr>
          <w:rFonts w:ascii="Arial" w:cs="Arial" w:eastAsia="Arial" w:hAnsi="Arial"/>
          <w:b/>
          <w:bCs/>
          <w:color w:val="1F3864"/>
          <w:sz w:val="19"/>
          <w:szCs w:val="19"/>
        </w:rPr>
        <w:t xml:space="preserve">NELL BANK CHARITABLE TRUST  |  WE ARE HIRING</w:t>
      </w:r>
    </w:p>
    <w:p>
      <w:pPr>
        <w:spacing w:after="40" w:before="0" w:line="240" w:lineRule="auto"/>
      </w:pPr>
      <w:r>
        <w:rPr>
          <w:rFonts w:ascii="Arial" w:cs="Arial" w:eastAsia="Arial" w:hAnsi="Arial"/>
          <w:b/>
          <w:bCs/>
          <w:color w:val="1F3864"/>
          <w:sz w:val="44"/>
          <w:szCs w:val="44"/>
        </w:rPr>
        <w:t xml:space="preserve">Help every child get outside.</w:t>
      </w:r>
    </w:p>
    <w:p>
      <w:pPr>
        <w:spacing w:after="220" w:before="0" w:line="240" w:lineRule="auto"/>
      </w:pPr>
      <w:r>
        <w:rPr>
          <w:rFonts w:ascii="Arial" w:cs="Arial" w:eastAsia="Arial" w:hAnsi="Arial"/>
          <w:b/>
          <w:bCs/>
          <w:color w:val="1F3864"/>
          <w:sz w:val="32"/>
          <w:szCs w:val="32"/>
        </w:rPr>
        <w:t xml:space="preserve">Build the fundraising behind Nell Bank’s 50th year.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1F3864" w:color="auto" w:val="clear"/>
            <w:tcMar>
              <w:top w:type="dxa" w:w="140"/>
              <w:left w:type="dxa" w:w="200"/>
              <w:bottom w:type="dxa" w:w="140"/>
              <w:right w:type="dxa" w:w="200"/>
            </w:tcMar>
          </w:tcPr>
          <w:p>
            <w:pPr>
              <w:spacing w:after="40"/>
            </w:pPr>
            <w:r>
              <w:rPr>
                <w:rFonts w:ascii="Arial" w:cs="Arial" w:eastAsia="Arial" w:hAnsi="Arial"/>
                <w:b/>
                <w:bCs/>
                <w:color w:val="FFFFFF"/>
                <w:sz w:val="30"/>
                <w:szCs w:val="30"/>
              </w:rPr>
              <w:t xml:space="preserve">Fundraising and Communications Manager</w:t>
            </w:r>
          </w:p>
          <w:p>
            <w:r>
              <w:rPr>
                <w:rFonts w:ascii="Arial" w:cs="Arial" w:eastAsia="Arial" w:hAnsi="Arial"/>
                <w:color w:val="FFFFFF"/>
                <w:sz w:val="21"/>
                <w:szCs w:val="21"/>
              </w:rPr>
              <w:t xml:space="preserve">Nell Bank Charitable Trust, Ilkley, West Yorkshire</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none" w:color="FFFFFF" w:sz="0"/>
              <w:left w:val="none" w:color="FFFFFF" w:sz="0"/>
              <w:bottom w:val="single" w:color="FFFFFF" w:sz="4"/>
              <w:right w:val="none" w:color="FFFFFF" w:sz="0"/>
            </w:tcBorders>
            <w:shd w:fill="DCE3F0" w:color="auto" w:val="clear"/>
            <w:tcMar>
              <w:top w:type="dxa" w:w="60"/>
              <w:left w:type="dxa" w:w="200"/>
              <w:bottom w:type="dxa" w:w="60"/>
              <w:right w:type="dxa" w:w="80"/>
            </w:tcMar>
          </w:tcPr>
          <w:p>
            <w:r>
              <w:rPr>
                <w:rFonts w:ascii="Arial" w:cs="Arial" w:eastAsia="Arial" w:hAnsi="Arial"/>
                <w:b/>
                <w:bCs/>
                <w:color w:val="1F3864"/>
                <w:sz w:val="20"/>
                <w:szCs w:val="20"/>
              </w:rPr>
              <w:t xml:space="preserve">Salary</w:t>
            </w:r>
          </w:p>
        </w:tc>
        <w:tc>
          <w:tcPr>
            <w:tcW w:type="dxa" w:w="7038"/>
            <w:tcBorders>
              <w:top w:val="none" w:color="FFFFFF" w:sz="0"/>
              <w:left w:val="none" w:color="FFFFFF" w:sz="0"/>
              <w:bottom w:val="single" w:color="FFFFFF" w:sz="4"/>
              <w:right w:val="none" w:color="FFFFFF" w:sz="0"/>
            </w:tcBorders>
            <w:shd w:fill="DCE3F0" w:color="auto" w:val="clear"/>
            <w:tcMar>
              <w:top w:type="dxa" w:w="60"/>
              <w:left w:type="dxa" w:w="80"/>
              <w:bottom w:type="dxa" w:w="60"/>
              <w:right w:type="dxa" w:w="200"/>
            </w:tcMar>
          </w:tcPr>
          <w:p>
            <w:r>
              <w:rPr>
                <w:rFonts w:ascii="Arial" w:cs="Arial" w:eastAsia="Arial" w:hAnsi="Arial"/>
                <w:sz w:val="20"/>
                <w:szCs w:val="20"/>
              </w:rPr>
              <w:t xml:space="preserve">£21,000 a year for three days a week (£35,000 full-time equivalent)</w:t>
            </w:r>
          </w:p>
        </w:tc>
      </w:tr>
      <w:tr>
        <w:tc>
          <w:tcPr>
            <w:tcW w:type="dxa" w:w="2600"/>
            <w:tcBorders>
              <w:top w:val="none" w:color="FFFFFF" w:sz="0"/>
              <w:left w:val="none" w:color="FFFFFF" w:sz="0"/>
              <w:bottom w:val="single" w:color="FFFFFF" w:sz="4"/>
              <w:right w:val="none" w:color="FFFFFF" w:sz="0"/>
            </w:tcBorders>
            <w:shd w:fill="DCE3F0" w:color="auto" w:val="clear"/>
            <w:tcMar>
              <w:top w:type="dxa" w:w="60"/>
              <w:left w:type="dxa" w:w="200"/>
              <w:bottom w:type="dxa" w:w="60"/>
              <w:right w:type="dxa" w:w="80"/>
            </w:tcMar>
          </w:tcPr>
          <w:p>
            <w:r>
              <w:rPr>
                <w:rFonts w:ascii="Arial" w:cs="Arial" w:eastAsia="Arial" w:hAnsi="Arial"/>
                <w:b/>
                <w:bCs/>
                <w:color w:val="1F3864"/>
                <w:sz w:val="20"/>
                <w:szCs w:val="20"/>
              </w:rPr>
              <w:t xml:space="preserve">Contract</w:t>
            </w:r>
          </w:p>
        </w:tc>
        <w:tc>
          <w:tcPr>
            <w:tcW w:type="dxa" w:w="7038"/>
            <w:tcBorders>
              <w:top w:val="none" w:color="FFFFFF" w:sz="0"/>
              <w:left w:val="none" w:color="FFFFFF" w:sz="0"/>
              <w:bottom w:val="single" w:color="FFFFFF" w:sz="4"/>
              <w:right w:val="none" w:color="FFFFFF" w:sz="0"/>
            </w:tcBorders>
            <w:shd w:fill="DCE3F0" w:color="auto" w:val="clear"/>
            <w:tcMar>
              <w:top w:type="dxa" w:w="60"/>
              <w:left w:type="dxa" w:w="80"/>
              <w:bottom w:type="dxa" w:w="60"/>
              <w:right w:type="dxa" w:w="200"/>
            </w:tcMar>
          </w:tcPr>
          <w:p>
            <w:r>
              <w:rPr>
                <w:rFonts w:ascii="Arial" w:cs="Arial" w:eastAsia="Arial" w:hAnsi="Arial"/>
                <w:sz w:val="20"/>
                <w:szCs w:val="20"/>
              </w:rPr>
              <w:t xml:space="preserve">12-month fixed term, with a route to a permanent post if the first year’s measures are on track</w:t>
            </w:r>
          </w:p>
        </w:tc>
      </w:tr>
      <w:tr>
        <w:tc>
          <w:tcPr>
            <w:tcW w:type="dxa" w:w="2600"/>
            <w:tcBorders>
              <w:top w:val="none" w:color="FFFFFF" w:sz="0"/>
              <w:left w:val="none" w:color="FFFFFF" w:sz="0"/>
              <w:bottom w:val="single" w:color="FFFFFF" w:sz="4"/>
              <w:right w:val="none" w:color="FFFFFF" w:sz="0"/>
            </w:tcBorders>
            <w:shd w:fill="DCE3F0" w:color="auto" w:val="clear"/>
            <w:tcMar>
              <w:top w:type="dxa" w:w="60"/>
              <w:left w:type="dxa" w:w="200"/>
              <w:bottom w:type="dxa" w:w="60"/>
              <w:right w:type="dxa" w:w="80"/>
            </w:tcMar>
          </w:tcPr>
          <w:p>
            <w:r>
              <w:rPr>
                <w:rFonts w:ascii="Arial" w:cs="Arial" w:eastAsia="Arial" w:hAnsi="Arial"/>
                <w:b/>
                <w:bCs/>
                <w:color w:val="1F3864"/>
                <w:sz w:val="20"/>
                <w:szCs w:val="20"/>
              </w:rPr>
              <w:t xml:space="preserve">Working pattern</w:t>
            </w:r>
          </w:p>
        </w:tc>
        <w:tc>
          <w:tcPr>
            <w:tcW w:type="dxa" w:w="7038"/>
            <w:tcBorders>
              <w:top w:val="none" w:color="FFFFFF" w:sz="0"/>
              <w:left w:val="none" w:color="FFFFFF" w:sz="0"/>
              <w:bottom w:val="single" w:color="FFFFFF" w:sz="4"/>
              <w:right w:val="none" w:color="FFFFFF" w:sz="0"/>
            </w:tcBorders>
            <w:shd w:fill="DCE3F0" w:color="auto" w:val="clear"/>
            <w:tcMar>
              <w:top w:type="dxa" w:w="60"/>
              <w:left w:type="dxa" w:w="80"/>
              <w:bottom w:type="dxa" w:w="60"/>
              <w:right w:type="dxa" w:w="200"/>
            </w:tcMar>
          </w:tcPr>
          <w:p>
            <w:r>
              <w:rPr>
                <w:rFonts w:ascii="Arial" w:cs="Arial" w:eastAsia="Arial" w:hAnsi="Arial"/>
                <w:sz w:val="20"/>
                <w:szCs w:val="20"/>
              </w:rPr>
              <w:t xml:space="preserve">Flexible working</w:t>
            </w:r>
          </w:p>
        </w:tc>
      </w:tr>
      <w:tr>
        <w:tc>
          <w:tcPr>
            <w:tcW w:type="dxa" w:w="2600"/>
            <w:tcBorders>
              <w:top w:val="none" w:color="FFFFFF" w:sz="0"/>
              <w:left w:val="none" w:color="FFFFFF" w:sz="0"/>
              <w:bottom w:val="single" w:color="FFFFFF" w:sz="4"/>
              <w:right w:val="none" w:color="FFFFFF" w:sz="0"/>
            </w:tcBorders>
            <w:shd w:fill="DCE3F0" w:color="auto" w:val="clear"/>
            <w:tcMar>
              <w:top w:type="dxa" w:w="60"/>
              <w:left w:type="dxa" w:w="200"/>
              <w:bottom w:type="dxa" w:w="60"/>
              <w:right w:type="dxa" w:w="80"/>
            </w:tcMar>
          </w:tcPr>
          <w:p>
            <w:r>
              <w:rPr>
                <w:rFonts w:ascii="Arial" w:cs="Arial" w:eastAsia="Arial" w:hAnsi="Arial"/>
                <w:b/>
                <w:bCs/>
                <w:color w:val="1F3864"/>
                <w:sz w:val="20"/>
                <w:szCs w:val="20"/>
              </w:rPr>
              <w:t xml:space="preserve">Start</w:t>
            </w:r>
          </w:p>
        </w:tc>
        <w:tc>
          <w:tcPr>
            <w:tcW w:type="dxa" w:w="7038"/>
            <w:tcBorders>
              <w:top w:val="none" w:color="FFFFFF" w:sz="0"/>
              <w:left w:val="none" w:color="FFFFFF" w:sz="0"/>
              <w:bottom w:val="single" w:color="FFFFFF" w:sz="4"/>
              <w:right w:val="none" w:color="FFFFFF" w:sz="0"/>
            </w:tcBorders>
            <w:shd w:fill="DCE3F0" w:color="auto" w:val="clear"/>
            <w:tcMar>
              <w:top w:type="dxa" w:w="60"/>
              <w:left w:type="dxa" w:w="80"/>
              <w:bottom w:type="dxa" w:w="60"/>
              <w:right w:type="dxa" w:w="200"/>
            </w:tcMar>
          </w:tcPr>
          <w:p>
            <w:r>
              <w:rPr>
                <w:rFonts w:ascii="Arial" w:cs="Arial" w:eastAsia="Arial" w:hAnsi="Arial"/>
                <w:sz w:val="20"/>
                <w:szCs w:val="20"/>
              </w:rPr>
              <w:t xml:space="preserve">Early 2027</w:t>
            </w:r>
          </w:p>
        </w:tc>
      </w:tr>
      <w:tr>
        <w:tc>
          <w:tcPr>
            <w:tcW w:type="dxa" w:w="2600"/>
            <w:tcBorders>
              <w:top w:val="none" w:color="FFFFFF" w:sz="0"/>
              <w:left w:val="none" w:color="FFFFFF" w:sz="0"/>
              <w:bottom w:val="single" w:color="FFFFFF" w:sz="4"/>
              <w:right w:val="none" w:color="FFFFFF" w:sz="0"/>
            </w:tcBorders>
            <w:shd w:fill="DCE3F0" w:color="auto" w:val="clear"/>
            <w:tcMar>
              <w:top w:type="dxa" w:w="60"/>
              <w:left w:type="dxa" w:w="200"/>
              <w:bottom w:type="dxa" w:w="60"/>
              <w:right w:type="dxa" w:w="80"/>
            </w:tcMar>
          </w:tcPr>
          <w:p>
            <w:r>
              <w:rPr>
                <w:rFonts w:ascii="Arial" w:cs="Arial" w:eastAsia="Arial" w:hAnsi="Arial"/>
                <w:b/>
                <w:bCs/>
                <w:color w:val="1F3864"/>
                <w:sz w:val="20"/>
                <w:szCs w:val="20"/>
              </w:rPr>
              <w:t xml:space="preserve">Closing date</w:t>
            </w:r>
          </w:p>
        </w:tc>
        <w:tc>
          <w:tcPr>
            <w:tcW w:type="dxa" w:w="7038"/>
            <w:tcBorders>
              <w:top w:val="none" w:color="FFFFFF" w:sz="0"/>
              <w:left w:val="none" w:color="FFFFFF" w:sz="0"/>
              <w:bottom w:val="single" w:color="FFFFFF" w:sz="4"/>
              <w:right w:val="none" w:color="FFFFFF" w:sz="0"/>
            </w:tcBorders>
            <w:shd w:fill="DCE3F0" w:color="auto" w:val="clear"/>
            <w:tcMar>
              <w:top w:type="dxa" w:w="60"/>
              <w:left w:type="dxa" w:w="80"/>
              <w:bottom w:type="dxa" w:w="60"/>
              <w:right w:type="dxa" w:w="200"/>
            </w:tcMar>
          </w:tcPr>
          <w:p>
            <w:r>
              <w:rPr>
                <w:rFonts w:ascii="Arial" w:cs="Arial" w:eastAsia="Arial" w:hAnsi="Arial"/>
                <w:sz w:val="20"/>
                <w:szCs w:val="20"/>
              </w:rPr>
              <w:t xml:space="preserve">12:00, Monday 16 November 2026</w:t>
            </w:r>
          </w:p>
        </w:tc>
      </w:tr>
    </w:tbl>
    <w:p>
      <w:pPr>
        <w:spacing w:after="0"/>
      </w:pPr>
    </w:p>
    <w:p>
      <w:pPr>
        <w:spacing w:after="120" w:before="0" w:line="276" w:lineRule="auto"/>
      </w:pPr>
      <w:r>
        <w:rPr>
          <w:rFonts w:ascii="Arial" w:cs="Arial" w:eastAsia="Arial" w:hAnsi="Arial"/>
          <w:sz w:val="21"/>
          <w:szCs w:val="21"/>
        </w:rPr>
        <w:t xml:space="preserve"/>
      </w:r>
    </w:p>
    <w:p>
      <w:pPr>
        <w:spacing w:after="140" w:before="0" w:line="276" w:lineRule="auto"/>
      </w:pPr>
      <w:r>
        <w:rPr>
          <w:rFonts w:ascii="Arial" w:cs="Arial" w:eastAsia="Arial" w:hAnsi="Arial"/>
          <w:sz w:val="21"/>
          <w:szCs w:val="21"/>
        </w:rPr>
        <w:t xml:space="preserve">Every year, Nell Bank welcomes 24,000 visitors, most of them children from across the Bradford district. On 25 acres near Ilkley, they find confidence, resilience and friendships they take home with them. A quarter of them come on a free or subsidised place, and fundraising makes that possible.</w:t>
      </w:r>
    </w:p>
    <w:p>
      <w:pPr>
        <w:spacing w:after="140" w:before="0" w:line="276" w:lineRule="auto"/>
      </w:pPr>
      <w:r>
        <w:rPr>
          <w:rFonts w:ascii="Arial" w:cs="Arial" w:eastAsia="Arial" w:hAnsi="Arial"/>
          <w:sz w:val="21"/>
          <w:szCs w:val="21"/>
        </w:rPr>
        <w:t xml:space="preserve">In 2027 we turn 50. Our promise for 2027 to 2030 is simple: </w:t>
      </w:r>
      <w:r>
        <w:rPr>
          <w:rFonts w:ascii="Arial" w:cs="Arial" w:eastAsia="Arial" w:hAnsi="Arial"/>
          <w:b/>
          <w:bCs/>
          <w:color w:val="1F3864"/>
          <w:sz w:val="21"/>
          <w:szCs w:val="21"/>
        </w:rPr>
        <w:t xml:space="preserve">every child included.</w:t>
      </w:r>
    </w:p>
    <w:p>
      <w:pPr>
        <w:spacing w:after="140" w:before="0" w:line="276" w:lineRule="auto"/>
      </w:pPr>
      <w:r>
        <w:rPr>
          <w:rFonts w:ascii="Arial" w:cs="Arial" w:eastAsia="Arial" w:hAnsi="Arial"/>
          <w:sz w:val="21"/>
          <w:szCs w:val="21"/>
        </w:rPr>
        <w:t xml:space="preserve">This is Nell Bank’s first dedicated fundraising role. The ambition and the support are already here. The pipeline, the partnerships and the voice will be yours to build.</w:t>
      </w:r>
    </w:p>
    <w:p>
      <w:pPr>
        <w:pStyle w:val="Heading2"/>
        <w:keepNext/>
        <w:pBdr>
          <w:bottom w:val="single" w:color="1F3864" w:sz="6" w:space="2"/>
        </w:pBdr>
        <w:spacing w:after="100" w:before="220"/>
      </w:pPr>
      <w:r>
        <w:rPr>
          <w:rFonts w:ascii="Arial" w:cs="Arial" w:eastAsia="Arial" w:hAnsi="Arial"/>
          <w:b/>
          <w:bCs/>
          <w:color w:val="1F3864"/>
          <w:sz w:val="25"/>
          <w:szCs w:val="25"/>
        </w:rPr>
        <w:t xml:space="preserve">What you will do</w:t>
      </w:r>
    </w:p>
    <w:p>
      <w:pPr>
        <w:pStyle w:val="ListParagraph"/>
        <w:numPr>
          <w:ilvl w:val="0"/>
          <w:numId w:val="2"/>
        </w:numPr>
        <w:spacing w:after="70" w:line="264" w:lineRule="auto"/>
      </w:pPr>
      <w:r>
        <w:rPr>
          <w:rFonts w:ascii="Arial" w:cs="Arial" w:eastAsia="Arial" w:hAnsi="Arial"/>
          <w:sz w:val="21"/>
          <w:szCs w:val="21"/>
        </w:rPr>
        <w:t xml:space="preserve">Grow grant income from trusts and foundations, and widen the funder base so we depend less on a few large funders</w:t>
      </w:r>
    </w:p>
    <w:p>
      <w:pPr>
        <w:pStyle w:val="ListParagraph"/>
        <w:numPr>
          <w:ilvl w:val="0"/>
          <w:numId w:val="2"/>
        </w:numPr>
        <w:spacing w:after="70" w:line="264" w:lineRule="auto"/>
      </w:pPr>
      <w:r>
        <w:rPr>
          <w:rFonts w:ascii="Arial" w:cs="Arial" w:eastAsia="Arial" w:hAnsi="Arial"/>
          <w:sz w:val="21"/>
          <w:szCs w:val="21"/>
        </w:rPr>
        <w:t xml:space="preserve">Turn introductions into corporate partnerships: sponsorship, charity of the year, employee volunteering, gifts in kind</w:t>
      </w:r>
    </w:p>
    <w:p>
      <w:pPr>
        <w:pStyle w:val="ListParagraph"/>
        <w:numPr>
          <w:ilvl w:val="0"/>
          <w:numId w:val="2"/>
        </w:numPr>
        <w:spacing w:after="70" w:line="264" w:lineRule="auto"/>
      </w:pPr>
      <w:r>
        <w:rPr>
          <w:rFonts w:ascii="Arial" w:cs="Arial" w:eastAsia="Arial" w:hAnsi="Arial"/>
          <w:sz w:val="21"/>
          <w:szCs w:val="21"/>
        </w:rPr>
        <w:t xml:space="preserve">Shape and launch our 50th anniversary giving proposition, and rebuild our volunteer ambassador network</w:t>
      </w:r>
    </w:p>
    <w:p>
      <w:pPr>
        <w:pStyle w:val="ListParagraph"/>
        <w:numPr>
          <w:ilvl w:val="0"/>
          <w:numId w:val="2"/>
        </w:numPr>
        <w:spacing w:after="70" w:line="264" w:lineRule="auto"/>
      </w:pPr>
      <w:r>
        <w:rPr>
          <w:rFonts w:ascii="Arial" w:cs="Arial" w:eastAsia="Arial" w:hAnsi="Arial"/>
          <w:sz w:val="21"/>
          <w:szCs w:val="21"/>
        </w:rPr>
        <w:t xml:space="preserve">Tell Nell Bank’s story across our website, social media, e-newsletters and the press, working with our comms partner in 2027 and then leading marketing communications and PR in-house</w:t>
      </w:r>
    </w:p>
    <w:p>
      <w:pPr>
        <w:pStyle w:val="ListParagraph"/>
        <w:numPr>
          <w:ilvl w:val="0"/>
          <w:numId w:val="2"/>
        </w:numPr>
        <w:spacing w:after="70" w:line="264" w:lineRule="auto"/>
      </w:pPr>
      <w:r>
        <w:rPr>
          <w:rFonts w:ascii="Arial" w:cs="Arial" w:eastAsia="Arial" w:hAnsi="Arial"/>
          <w:sz w:val="21"/>
          <w:szCs w:val="21"/>
        </w:rPr>
        <w:t xml:space="preserve">Build the pipeline, calendar and playbooks that keep Nell Bank fundraising into the future</w:t>
      </w:r>
    </w:p>
    <w:p>
      <w:pPr>
        <w:pStyle w:val="Heading2"/>
        <w:keepNext/>
        <w:pBdr>
          <w:bottom w:val="single" w:color="1F3864" w:sz="6" w:space="2"/>
        </w:pBdr>
        <w:spacing w:after="100" w:before="220"/>
      </w:pPr>
      <w:r>
        <w:rPr>
          <w:rFonts w:ascii="Arial" w:cs="Arial" w:eastAsia="Arial" w:hAnsi="Arial"/>
          <w:b/>
          <w:bCs/>
          <w:color w:val="1F3864"/>
          <w:sz w:val="25"/>
          <w:szCs w:val="25"/>
        </w:rPr>
        <w:t xml:space="preserve">What you will bring</w:t>
      </w:r>
    </w:p>
    <w:p>
      <w:pPr>
        <w:pStyle w:val="ListParagraph"/>
        <w:numPr>
          <w:ilvl w:val="0"/>
          <w:numId w:val="2"/>
        </w:numPr>
        <w:spacing w:after="70" w:line="264" w:lineRule="auto"/>
      </w:pPr>
      <w:r>
        <w:rPr>
          <w:rFonts w:ascii="Arial" w:cs="Arial" w:eastAsia="Arial" w:hAnsi="Arial"/>
          <w:sz w:val="21"/>
          <w:szCs w:val="21"/>
        </w:rPr>
        <w:t xml:space="preserve">A track record of raising income from at least two of trusts, corporate partners and individual giving, with figures you can evidence</w:t>
      </w:r>
    </w:p>
    <w:p>
      <w:pPr>
        <w:pStyle w:val="ListParagraph"/>
        <w:numPr>
          <w:ilvl w:val="0"/>
          <w:numId w:val="2"/>
        </w:numPr>
        <w:spacing w:after="70" w:line="264" w:lineRule="auto"/>
      </w:pPr>
      <w:r>
        <w:rPr>
          <w:rFonts w:ascii="Arial" w:cs="Arial" w:eastAsia="Arial" w:hAnsi="Arial"/>
          <w:sz w:val="21"/>
          <w:szCs w:val="21"/>
        </w:rPr>
        <w:t xml:space="preserve">Persuasive writing, and a talent for storytelling that adapts to each audience: funders, schools, corporate partners, supporters and the local community</w:t>
      </w:r>
    </w:p>
    <w:p>
      <w:pPr>
        <w:pStyle w:val="ListParagraph"/>
        <w:numPr>
          <w:ilvl w:val="0"/>
          <w:numId w:val="2"/>
        </w:numPr>
        <w:spacing w:after="70" w:line="264" w:lineRule="auto"/>
      </w:pPr>
      <w:r>
        <w:rPr>
          <w:rFonts w:ascii="Arial" w:cs="Arial" w:eastAsia="Arial" w:hAnsi="Arial"/>
          <w:sz w:val="21"/>
          <w:szCs w:val="21"/>
        </w:rPr>
        <w:t xml:space="preserve">Marketing communications experience, including using social media platforms commercially to grow audiences, drive donations and fill events</w:t>
      </w:r>
    </w:p>
    <w:p>
      <w:pPr>
        <w:pStyle w:val="ListParagraph"/>
        <w:numPr>
          <w:ilvl w:val="0"/>
          <w:numId w:val="2"/>
        </w:numPr>
        <w:spacing w:after="70" w:line="264" w:lineRule="auto"/>
      </w:pPr>
      <w:r>
        <w:rPr>
          <w:rFonts w:ascii="Arial" w:cs="Arial" w:eastAsia="Arial" w:hAnsi="Arial"/>
          <w:sz w:val="21"/>
          <w:szCs w:val="21"/>
        </w:rPr>
        <w:t xml:space="preserve">An understanding of PR, and how local, regional and sector media can raise our profile and open doors with funders and partners</w:t>
      </w:r>
    </w:p>
    <w:p>
      <w:pPr>
        <w:pStyle w:val="ListParagraph"/>
        <w:numPr>
          <w:ilvl w:val="0"/>
          <w:numId w:val="2"/>
        </w:numPr>
        <w:spacing w:after="70" w:line="264" w:lineRule="auto"/>
      </w:pPr>
      <w:r>
        <w:rPr>
          <w:rFonts w:ascii="Arial" w:cs="Arial" w:eastAsia="Arial" w:hAnsi="Arial"/>
          <w:sz w:val="21"/>
          <w:szCs w:val="21"/>
        </w:rPr>
        <w:t xml:space="preserve">Confidence leading volunteers and working with trustees</w:t>
      </w:r>
    </w:p>
    <w:p>
      <w:pPr>
        <w:pStyle w:val="ListParagraph"/>
        <w:numPr>
          <w:ilvl w:val="0"/>
          <w:numId w:val="2"/>
        </w:numPr>
        <w:spacing w:after="70" w:line="264" w:lineRule="auto"/>
      </w:pPr>
      <w:r>
        <w:rPr>
          <w:rFonts w:ascii="Arial" w:cs="Arial" w:eastAsia="Arial" w:hAnsi="Arial"/>
          <w:sz w:val="21"/>
          <w:szCs w:val="21"/>
        </w:rPr>
        <w:t xml:space="preserve">A practical approach to CRM, data and the Code of Fundraising Practice</w:t>
      </w:r>
    </w:p>
    <w:p>
      <w:pPr>
        <w:pStyle w:val="ListParagraph"/>
        <w:numPr>
          <w:ilvl w:val="0"/>
          <w:numId w:val="2"/>
        </w:numPr>
        <w:spacing w:after="70" w:line="264" w:lineRule="auto"/>
      </w:pPr>
      <w:r>
        <w:rPr>
          <w:rFonts w:ascii="Arial" w:cs="Arial" w:eastAsia="Arial" w:hAnsi="Arial"/>
          <w:sz w:val="21"/>
          <w:szCs w:val="21"/>
        </w:rPr>
        <w:t xml:space="preserve">A full UK driving licence</w:t>
      </w:r>
    </w:p>
    <w:p>
      <w:pPr>
        <w:spacing w:after="140" w:before="80" w:line="276" w:lineRule="auto"/>
      </w:pPr>
      <w:r>
        <w:rPr>
          <w:rFonts w:ascii="Arial" w:cs="Arial" w:eastAsia="Arial" w:hAnsi="Arial"/>
          <w:i/>
          <w:iCs/>
          <w:sz w:val="21"/>
          <w:szCs w:val="21"/>
        </w:rPr>
        <w:t xml:space="preserve">Experience in a small charity, in outdoor learning, education or youth work, knowledge of Bradford, Leeds and West Yorkshire funders, or hands-on experience of Claude AI or similar tools would be a real advantage.</w:t>
      </w:r>
    </w:p>
    <w:p>
      <w:pPr>
        <w:pStyle w:val="Heading2"/>
        <w:keepNext/>
        <w:pBdr>
          <w:bottom w:val="single" w:color="1F3864" w:sz="6" w:space="2"/>
        </w:pBdr>
        <w:spacing w:after="100" w:before="220"/>
      </w:pPr>
      <w:r>
        <w:rPr>
          <w:rFonts w:ascii="Arial" w:cs="Arial" w:eastAsia="Arial" w:hAnsi="Arial"/>
          <w:b/>
          <w:bCs/>
          <w:color w:val="1F3864"/>
          <w:sz w:val="25"/>
          <w:szCs w:val="25"/>
        </w:rPr>
        <w:t xml:space="preserve">What you will get</w:t>
      </w:r>
    </w:p>
    <w:p>
      <w:pPr>
        <w:pStyle w:val="ListParagraph"/>
        <w:numPr>
          <w:ilvl w:val="0"/>
          <w:numId w:val="2"/>
        </w:numPr>
        <w:spacing w:after="70" w:line="264" w:lineRule="auto"/>
      </w:pPr>
      <w:r>
        <w:rPr>
          <w:rFonts w:ascii="Arial" w:cs="Arial" w:eastAsia="Arial" w:hAnsi="Arial"/>
          <w:sz w:val="21"/>
          <w:szCs w:val="21"/>
        </w:rPr>
        <w:t xml:space="preserve">A role with real scope: trusts, corporate, individual giving and communications, all in one</w:t>
      </w:r>
    </w:p>
    <w:p>
      <w:pPr>
        <w:pStyle w:val="ListParagraph"/>
        <w:numPr>
          <w:ilvl w:val="0"/>
          <w:numId w:val="2"/>
        </w:numPr>
        <w:spacing w:after="70" w:line="264" w:lineRule="auto"/>
      </w:pPr>
      <w:r>
        <w:rPr>
          <w:rFonts w:ascii="Arial" w:cs="Arial" w:eastAsia="Arial" w:hAnsi="Arial"/>
          <w:sz w:val="21"/>
          <w:szCs w:val="21"/>
        </w:rPr>
        <w:t xml:space="preserve">The chance to leave a lasting mark in our 50th anniversary year</w:t>
      </w:r>
    </w:p>
    <w:p>
      <w:pPr>
        <w:pStyle w:val="ListParagraph"/>
        <w:numPr>
          <w:ilvl w:val="0"/>
          <w:numId w:val="2"/>
        </w:numPr>
        <w:spacing w:after="70" w:line="264" w:lineRule="auto"/>
      </w:pPr>
      <w:r>
        <w:rPr>
          <w:rFonts w:ascii="Arial" w:cs="Arial" w:eastAsia="Arial" w:hAnsi="Arial"/>
          <w:sz w:val="21"/>
          <w:szCs w:val="21"/>
        </w:rPr>
        <w:t xml:space="preserve">Backing from the CEO, a Board sponsor, trustees and a committed volunteer network recognised with the King’s Award for Voluntary Service</w:t>
      </w:r>
    </w:p>
    <w:p>
      <w:pPr>
        <w:pStyle w:val="ListParagraph"/>
        <w:numPr>
          <w:ilvl w:val="0"/>
          <w:numId w:val="2"/>
        </w:numPr>
        <w:spacing w:after="70" w:line="264" w:lineRule="auto"/>
      </w:pPr>
      <w:r>
        <w:rPr>
          <w:rFonts w:ascii="Arial" w:cs="Arial" w:eastAsia="Arial" w:hAnsi="Arial"/>
          <w:sz w:val="21"/>
          <w:szCs w:val="21"/>
        </w:rPr>
        <w:t xml:space="preserve">A beautiful working setting, flexible working and a workplace pension</w:t>
      </w:r>
    </w:p>
    <w:p>
      <w:pPr>
        <w:pStyle w:val="ListParagraph"/>
        <w:numPr>
          <w:ilvl w:val="0"/>
          <w:numId w:val="2"/>
        </w:numPr>
        <w:spacing w:after="70" w:line="264" w:lineRule="auto"/>
      </w:pPr>
      <w:r>
        <w:rPr>
          <w:rFonts w:ascii="Arial" w:cs="Arial" w:eastAsia="Arial" w:hAnsi="Arial"/>
          <w:sz w:val="21"/>
          <w:szCs w:val="21"/>
        </w:rPr>
        <w:t xml:space="preserve">15.5 days’ holiday for the 0.6 FTE contract, plus bank holiday entitlement</w:t>
      </w:r>
    </w:p>
    <w:p>
      <w:pPr>
        <w:pStyle w:val="ListParagraph"/>
        <w:numPr>
          <w:ilvl w:val="0"/>
          <w:numId w:val="2"/>
        </w:numPr>
        <w:spacing w:after="70" w:line="264" w:lineRule="auto"/>
      </w:pPr>
      <w:r>
        <w:rPr>
          <w:rFonts w:ascii="Arial" w:cs="Arial" w:eastAsia="Arial" w:hAnsi="Arial"/>
          <w:sz w:val="21"/>
          <w:szCs w:val="21"/>
        </w:rPr>
        <w:t xml:space="preserve">A route to a permanent post if the first year’s measures are on track</w:t>
      </w:r>
    </w:p>
    <w:p>
      <w:pPr>
        <w:pStyle w:val="Heading2"/>
        <w:keepNext/>
        <w:pBdr>
          <w:bottom w:val="single" w:color="1F3864" w:sz="6" w:space="2"/>
        </w:pBdr>
        <w:spacing w:after="100" w:before="220"/>
      </w:pPr>
      <w:r>
        <w:rPr>
          <w:rFonts w:ascii="Arial" w:cs="Arial" w:eastAsia="Arial" w:hAnsi="Arial"/>
          <w:b/>
          <w:bCs/>
          <w:color w:val="1F3864"/>
          <w:sz w:val="25"/>
          <w:szCs w:val="25"/>
        </w:rPr>
        <w:t xml:space="preserve">How to apply</w:t>
      </w:r>
    </w:p>
    <w:p>
      <w:pPr>
        <w:spacing w:after="140" w:before="0" w:line="276" w:lineRule="auto"/>
      </w:pPr>
      <w:r>
        <w:rPr>
          <w:rFonts w:ascii="Arial" w:cs="Arial" w:eastAsia="Arial" w:hAnsi="Arial"/>
          <w:sz w:val="21"/>
          <w:szCs w:val="21"/>
        </w:rPr>
        <w:t xml:space="preserve">The application pack (job profile and application form) can be downloaded from </w:t>
      </w:r>
      <w:hyperlink w:history="1" r:id="rIdblrb-hiyumq4r1itk9eoa">
        <w:r>
          <w:rPr>
            <w:rFonts w:ascii="Arial" w:cs="Arial" w:eastAsia="Arial" w:hAnsi="Arial"/>
            <w:color w:val="1F4E9C"/>
            <w:sz w:val="21"/>
            <w:szCs w:val="21"/>
            <w:u w:val="single"/>
          </w:rPr>
          <w:t xml:space="preserve">www.nellbank.org</w:t>
        </w:r>
      </w:hyperlink>
      <w:r>
        <w:rPr>
          <w:rFonts w:ascii="Arial" w:cs="Arial" w:eastAsia="Arial" w:hAnsi="Arial"/>
          <w:sz w:val="21"/>
          <w:szCs w:val="21"/>
        </w:rPr>
        <w:t xml:space="preserve">, or sent to you by email: please request it from </w:t>
      </w:r>
      <w:hyperlink w:history="1" r:id="rIde4rbh2t8awjefj8nljblh">
        <w:r>
          <w:rPr>
            <w:rFonts w:ascii="Arial" w:cs="Arial" w:eastAsia="Arial" w:hAnsi="Arial"/>
            <w:color w:val="1F4E9C"/>
            <w:sz w:val="21"/>
            <w:szCs w:val="21"/>
            <w:u w:val="single"/>
          </w:rPr>
          <w:t xml:space="preserve">office@nellbank.org</w:t>
        </w:r>
      </w:hyperlink>
      <w:r>
        <w:rPr>
          <w:rFonts w:ascii="Arial" w:cs="Arial" w:eastAsia="Arial" w:hAnsi="Arial"/>
          <w:sz w:val="21"/>
          <w:szCs w:val="21"/>
        </w:rPr>
        <w:t xml:space="preserve">.</w:t>
      </w:r>
    </w:p>
    <w:p>
      <w:pPr>
        <w:spacing w:after="140" w:before="0" w:line="276" w:lineRule="auto"/>
      </w:pPr>
      <w:r>
        <w:rPr>
          <w:rFonts w:ascii="Arial" w:cs="Arial" w:eastAsia="Arial" w:hAnsi="Arial"/>
          <w:sz w:val="21"/>
          <w:szCs w:val="21"/>
        </w:rPr>
        <w:t xml:space="preserve">Please return your completed application form to </w:t>
      </w:r>
      <w:hyperlink w:history="1" r:id="rIdfcztfde6jchtezcmzbwfh">
        <w:r>
          <w:rPr>
            <w:rFonts w:ascii="Arial" w:cs="Arial" w:eastAsia="Arial" w:hAnsi="Arial"/>
            <w:color w:val="1F4E9C"/>
            <w:sz w:val="21"/>
            <w:szCs w:val="21"/>
            <w:u w:val="single"/>
          </w:rPr>
          <w:t xml:space="preserve">office@nellbank.org</w:t>
        </w:r>
      </w:hyperlink>
      <w:r>
        <w:rPr>
          <w:rFonts w:ascii="Arial" w:cs="Arial" w:eastAsia="Arial" w:hAnsi="Arial"/>
          <w:sz w:val="21"/>
          <w:szCs w:val="21"/>
        </w:rPr>
        <w:t xml:space="preserve">.</w:t>
      </w:r>
    </w:p>
    <w:p>
      <w:pPr>
        <w:pStyle w:val="ListParagraph"/>
        <w:numPr>
          <w:ilvl w:val="0"/>
          <w:numId w:val="2"/>
        </w:numPr>
        <w:spacing w:after="70" w:line="264" w:lineRule="auto"/>
      </w:pPr>
      <w:r>
        <w:rPr>
          <w:rFonts w:ascii="Arial" w:cs="Arial" w:eastAsia="Arial" w:hAnsi="Arial"/>
          <w:b/>
          <w:bCs/>
          <w:sz w:val="21"/>
          <w:szCs w:val="21"/>
        </w:rPr>
        <w:t xml:space="preserve">Closing date: </w:t>
      </w:r>
      <w:r>
        <w:rPr>
          <w:rFonts w:ascii="Arial" w:cs="Arial" w:eastAsia="Arial" w:hAnsi="Arial"/>
          <w:sz w:val="21"/>
          <w:szCs w:val="21"/>
        </w:rPr>
        <w:t xml:space="preserve">12:00, Monday 16 November 2026</w:t>
      </w:r>
    </w:p>
    <w:p>
      <w:pPr>
        <w:pStyle w:val="ListParagraph"/>
        <w:numPr>
          <w:ilvl w:val="0"/>
          <w:numId w:val="2"/>
        </w:numPr>
        <w:spacing w:after="70" w:line="264" w:lineRule="auto"/>
      </w:pPr>
      <w:r>
        <w:rPr>
          <w:rFonts w:ascii="Arial" w:cs="Arial" w:eastAsia="Arial" w:hAnsi="Arial"/>
          <w:b/>
          <w:bCs/>
          <w:sz w:val="21"/>
          <w:szCs w:val="21"/>
        </w:rPr>
        <w:t xml:space="preserve">Video interviews: </w:t>
      </w:r>
      <w:r>
        <w:rPr>
          <w:rFonts w:ascii="Arial" w:cs="Arial" w:eastAsia="Arial" w:hAnsi="Arial"/>
          <w:sz w:val="21"/>
          <w:szCs w:val="21"/>
        </w:rPr>
        <w:t xml:space="preserve">Tuesday 24 or Wednesday 25 November</w:t>
      </w:r>
    </w:p>
    <w:p>
      <w:pPr>
        <w:pStyle w:val="ListParagraph"/>
        <w:numPr>
          <w:ilvl w:val="0"/>
          <w:numId w:val="2"/>
        </w:numPr>
        <w:spacing w:after="70" w:line="264" w:lineRule="auto"/>
      </w:pPr>
      <w:r>
        <w:rPr>
          <w:rFonts w:ascii="Arial" w:cs="Arial" w:eastAsia="Arial" w:hAnsi="Arial"/>
          <w:b/>
          <w:bCs/>
          <w:sz w:val="21"/>
          <w:szCs w:val="21"/>
        </w:rPr>
        <w:t xml:space="preserve">Presentation and interview at Nell Bank, for candidates successful at Stage 1: </w:t>
      </w:r>
      <w:r>
        <w:rPr>
          <w:rFonts w:ascii="Arial" w:cs="Arial" w:eastAsia="Arial" w:hAnsi="Arial"/>
          <w:sz w:val="21"/>
          <w:szCs w:val="21"/>
        </w:rPr>
        <w:t xml:space="preserve">Wednesday 2 December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864" w:sz="24"/>
              <w:bottom w:val="none" w:color="FFFFFF" w:sz="0"/>
              <w:right w:val="none" w:color="FFFFFF" w:sz="0"/>
            </w:tcBorders>
            <w:shd w:fill="DCE3F0" w:color="auto" w:val="clear"/>
            <w:tcMar>
              <w:top w:type="dxa" w:w="140"/>
              <w:left w:type="dxa" w:w="200"/>
              <w:bottom w:type="dxa" w:w="140"/>
              <w:right w:type="dxa" w:w="200"/>
            </w:tcMar>
          </w:tcPr>
          <w:p>
            <w:pPr>
              <w:spacing w:after="80"/>
            </w:pPr>
            <w:r>
              <w:rPr>
                <w:rFonts w:ascii="Arial" w:cs="Arial" w:eastAsia="Arial" w:hAnsi="Arial"/>
                <w:sz w:val="21"/>
                <w:szCs w:val="21"/>
              </w:rPr>
              <w:t xml:space="preserve">We welcome an informal conversation before you apply: call Dan Goodey, CEO, on </w:t>
            </w:r>
            <w:r>
              <w:rPr>
                <w:rFonts w:ascii="Arial" w:cs="Arial" w:eastAsia="Arial" w:hAnsi="Arial"/>
                <w:b/>
                <w:bCs/>
                <w:color w:val="1F3864"/>
                <w:sz w:val="21"/>
                <w:szCs w:val="21"/>
              </w:rPr>
              <w:t xml:space="preserve">01943 602032</w:t>
            </w:r>
            <w:r>
              <w:rPr>
                <w:rFonts w:ascii="Arial" w:cs="Arial" w:eastAsia="Arial" w:hAnsi="Arial"/>
                <w:sz w:val="21"/>
                <w:szCs w:val="21"/>
              </w:rPr>
              <w:t xml:space="preserve">. A visit to Nell Bank is the best way to see what you would be raising money for.</w:t>
            </w:r>
          </w:p>
          <w:p>
            <w:r>
              <w:rPr>
                <w:rFonts w:ascii="Arial" w:cs="Arial" w:eastAsia="Arial" w:hAnsi="Arial"/>
                <w:i/>
                <w:iCs/>
                <w:sz w:val="19"/>
                <w:szCs w:val="19"/>
              </w:rPr>
              <w:t xml:space="preserve">Appointment is subject to references, right to work and an enhanced DBS check.</w:t>
            </w:r>
          </w:p>
        </w:tc>
      </w:tr>
    </w:tbl>
    <w:sectPr>
      <w:headerReference w:type="default" r:id="rId6"/>
      <w:footerReference w:type="default" r:id="rId7"/>
      <w:pgSz w:w="11906" w:h="16838" w:orient="portrait"/>
      <w:pgMar w:top="1200" w:right="1134" w:bottom="11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6"/>
        <w:szCs w:val="16"/>
      </w:rPr>
      <w:t xml:space="preserve">www.nellbank.org   |   office@nellbank.org   |   Page </w:t>
    </w:r>
    <w:r>
      <w:rPr>
        <w:rFonts w:ascii="Arial" w:cs="Arial" w:eastAsia="Arial" w:hAnsi="Arial"/>
        <w:color w:val="595959"/>
        <w:sz w:val="16"/>
        <w:szCs w:val="16"/>
      </w:rPr>
      <w:fldChar w:fldCharType="begin"/>
      <w:instrText xml:space="preserve">PAGE</w:instrText>
      <w:fldChar w:fldCharType="separate"/>
      <w:fldChar w:fldCharType="end"/>
    </w:r>
    <w:r>
      <w:rPr>
        <w:rFonts w:ascii="Arial" w:cs="Arial" w:eastAsia="Arial" w:hAnsi="Arial"/>
        <w:color w:val="595959"/>
        <w:sz w:val="16"/>
        <w:szCs w:val="16"/>
      </w:rPr>
      <w:t xml:space="preserve"> of </w:t>
    </w:r>
    <w:r>
      <w:rPr>
        <w:rFonts w:ascii="Arial" w:cs="Arial" w:eastAsia="Arial" w:hAnsi="Arial"/>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6" w:space="4"/>
      </w:pBdr>
    </w:pPr>
    <w:r>
      <w:rPr>
        <w:rFonts w:ascii="Arial" w:cs="Arial" w:eastAsia="Arial" w:hAnsi="Arial"/>
        <w:b/>
        <w:bCs/>
        <w:color w:val="1F3864"/>
        <w:sz w:val="16"/>
        <w:szCs w:val="16"/>
      </w:rPr>
      <w:t xml:space="preserve">Nell Bank Charitable Trust</w:t>
    </w:r>
    <w:r>
      <w:rPr>
        <w:rFonts w:ascii="Arial" w:cs="Arial" w:eastAsia="Arial" w:hAnsi="Arial"/>
        <w:color w:val="595959"/>
        <w:sz w:val="16"/>
        <w:szCs w:val="16"/>
      </w:rPr>
      <w:t xml:space="preserve">   |   Fundraising and Communications Manager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rPr>
        <w:color w:val="1F386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color w:val="1F3864"/>
      <w:sz w:val="25"/>
      <w:szCs w:val="25"/>
    </w:rPr>
  </w:style>
</w:style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hyperlink" Target="mailto:office@nellbank.org" TargetMode="External" Id="rIdfcztfde6jchtezcmzbwfh" /><Relationship Type="http://schemas.openxmlformats.org/officeDocument/2006/relationships/footnotes" Target="footnotes.xml" Id="rId3" /><Relationship Type="http://schemas.openxmlformats.org/officeDocument/2006/relationships/footer" Target="footer1.xml" Id="rId7" /><Relationship Type="http://schemas.openxmlformats.org/officeDocument/2006/relationships/hyperlink" Target="mailto:office@nellbank.org" TargetMode="External" Id="rIde4rbh2t8awjefj8nljblh"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settings" Target="settings.xml" Id="rId5" /><Relationship Type="http://schemas.openxmlformats.org/officeDocument/2006/relationships/hyperlink" Target="https://www.nellbank.org" TargetMode="External" Id="rIdblrb-hiyumq4r1itk9eoa" /><Relationship Type="http://schemas.openxmlformats.org/officeDocument/2006/relationships/endnotes" Target="endnotes.xml" Id="rId4"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