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D269" w14:textId="77777777" w:rsidR="00797E51" w:rsidRPr="007222DA" w:rsidRDefault="00122A70" w:rsidP="007222DA">
      <w:pPr>
        <w:spacing w:before="100" w:after="60" w:line="276" w:lineRule="auto"/>
        <w:rPr>
          <w:rFonts w:ascii="Aptos" w:hAnsi="Aptos"/>
          <w:sz w:val="28"/>
          <w:szCs w:val="28"/>
        </w:rPr>
      </w:pPr>
      <w:r w:rsidRPr="007222DA">
        <w:rPr>
          <w:rFonts w:ascii="Aptos" w:eastAsia="Arial" w:hAnsi="Aptos"/>
          <w:b/>
          <w:color w:val="00B050"/>
          <w:sz w:val="28"/>
          <w:szCs w:val="28"/>
        </w:rPr>
        <w:t>Job details</w:t>
      </w:r>
    </w:p>
    <w:p w14:paraId="69ACD87D" w14:textId="77777777" w:rsidR="00797E51" w:rsidRPr="007222DA" w:rsidRDefault="00122A70" w:rsidP="007222DA">
      <w:pPr>
        <w:tabs>
          <w:tab w:val="left" w:pos="1699"/>
        </w:tabs>
        <w:spacing w:after="0" w:line="276" w:lineRule="auto"/>
        <w:rPr>
          <w:rFonts w:ascii="Aptos" w:hAnsi="Aptos"/>
        </w:rPr>
      </w:pPr>
      <w:r w:rsidRPr="007222DA">
        <w:rPr>
          <w:rFonts w:ascii="Aptos" w:eastAsia="Arial" w:hAnsi="Aptos"/>
          <w:b/>
        </w:rPr>
        <w:t>Job title</w:t>
      </w:r>
      <w:r w:rsidRPr="007222DA">
        <w:rPr>
          <w:rFonts w:ascii="Aptos" w:eastAsia="Arial" w:hAnsi="Aptos"/>
        </w:rPr>
        <w:tab/>
        <w:t>Health Inclusion Manager</w:t>
      </w:r>
    </w:p>
    <w:p w14:paraId="26FA2527" w14:textId="77777777" w:rsidR="00797E51" w:rsidRPr="007222DA" w:rsidRDefault="00122A70" w:rsidP="007222DA">
      <w:pPr>
        <w:tabs>
          <w:tab w:val="left" w:pos="1699"/>
        </w:tabs>
        <w:spacing w:after="0" w:line="276" w:lineRule="auto"/>
        <w:rPr>
          <w:rFonts w:ascii="Aptos" w:hAnsi="Aptos"/>
        </w:rPr>
      </w:pPr>
      <w:r w:rsidRPr="007222DA">
        <w:rPr>
          <w:rFonts w:ascii="Aptos" w:eastAsia="Arial" w:hAnsi="Aptos"/>
          <w:b/>
        </w:rPr>
        <w:t>Contract</w:t>
      </w:r>
      <w:r w:rsidRPr="007222DA">
        <w:rPr>
          <w:rFonts w:ascii="Aptos" w:eastAsia="Arial" w:hAnsi="Aptos"/>
        </w:rPr>
        <w:tab/>
        <w:t>Full time, permanent</w:t>
      </w:r>
    </w:p>
    <w:p w14:paraId="657018AA" w14:textId="77777777" w:rsidR="00797E51" w:rsidRPr="007222DA" w:rsidRDefault="00122A70" w:rsidP="007222DA">
      <w:pPr>
        <w:tabs>
          <w:tab w:val="left" w:pos="1699"/>
        </w:tabs>
        <w:spacing w:after="0" w:line="276" w:lineRule="auto"/>
        <w:rPr>
          <w:rFonts w:ascii="Aptos" w:hAnsi="Aptos"/>
        </w:rPr>
      </w:pPr>
      <w:r w:rsidRPr="007222DA">
        <w:rPr>
          <w:rFonts w:ascii="Aptos" w:eastAsia="Arial" w:hAnsi="Aptos"/>
          <w:b/>
        </w:rPr>
        <w:t>Hours</w:t>
      </w:r>
      <w:r w:rsidRPr="007222DA">
        <w:rPr>
          <w:rFonts w:ascii="Aptos" w:eastAsia="Arial" w:hAnsi="Aptos"/>
        </w:rPr>
        <w:tab/>
        <w:t>35 hours per week</w:t>
      </w:r>
    </w:p>
    <w:p w14:paraId="186F2740" w14:textId="77777777" w:rsidR="00797E51" w:rsidRPr="007222DA" w:rsidRDefault="00122A70" w:rsidP="007222DA">
      <w:pPr>
        <w:tabs>
          <w:tab w:val="left" w:pos="1699"/>
        </w:tabs>
        <w:spacing w:after="0" w:line="276" w:lineRule="auto"/>
        <w:rPr>
          <w:rFonts w:ascii="Aptos" w:hAnsi="Aptos"/>
        </w:rPr>
      </w:pPr>
      <w:r w:rsidRPr="007222DA">
        <w:rPr>
          <w:rFonts w:ascii="Aptos" w:eastAsia="Arial" w:hAnsi="Aptos"/>
          <w:b/>
        </w:rPr>
        <w:t>Location</w:t>
      </w:r>
      <w:r w:rsidRPr="007222DA">
        <w:rPr>
          <w:rFonts w:ascii="Aptos" w:eastAsia="Arial" w:hAnsi="Aptos"/>
        </w:rPr>
        <w:tab/>
        <w:t>The Dellow Centre, London E1 7SA</w:t>
      </w:r>
    </w:p>
    <w:p w14:paraId="7B416E88" w14:textId="77777777" w:rsidR="00797E51" w:rsidRPr="007222DA" w:rsidRDefault="00122A70" w:rsidP="007222DA">
      <w:pPr>
        <w:tabs>
          <w:tab w:val="left" w:pos="1699"/>
        </w:tabs>
        <w:spacing w:after="0" w:line="276" w:lineRule="auto"/>
        <w:rPr>
          <w:rFonts w:ascii="Aptos" w:hAnsi="Aptos"/>
        </w:rPr>
      </w:pPr>
      <w:r w:rsidRPr="007222DA">
        <w:rPr>
          <w:rFonts w:ascii="Aptos" w:eastAsia="Arial" w:hAnsi="Aptos"/>
          <w:b/>
        </w:rPr>
        <w:t>Disclosure</w:t>
      </w:r>
      <w:r w:rsidRPr="007222DA">
        <w:rPr>
          <w:rFonts w:ascii="Aptos" w:eastAsia="Arial" w:hAnsi="Aptos"/>
        </w:rPr>
        <w:tab/>
        <w:t>Enhanced</w:t>
      </w:r>
    </w:p>
    <w:p w14:paraId="183A3EA9" w14:textId="77777777" w:rsidR="00797E51" w:rsidRPr="007222DA" w:rsidRDefault="00122A70" w:rsidP="007222DA">
      <w:pPr>
        <w:tabs>
          <w:tab w:val="left" w:pos="1699"/>
        </w:tabs>
        <w:spacing w:after="0" w:line="276" w:lineRule="auto"/>
        <w:rPr>
          <w:rFonts w:ascii="Aptos" w:hAnsi="Aptos"/>
        </w:rPr>
      </w:pPr>
      <w:r w:rsidRPr="007222DA">
        <w:rPr>
          <w:rFonts w:ascii="Aptos" w:eastAsia="Arial" w:hAnsi="Aptos"/>
          <w:b/>
        </w:rPr>
        <w:t>Pension</w:t>
      </w:r>
      <w:r w:rsidRPr="007222DA">
        <w:rPr>
          <w:rFonts w:ascii="Aptos" w:eastAsia="Arial" w:hAnsi="Aptos"/>
        </w:rPr>
        <w:tab/>
        <w:t>Auto enrolment from day one into the People’s Pension</w:t>
      </w:r>
    </w:p>
    <w:p w14:paraId="0D829890" w14:textId="77777777" w:rsidR="00797E51" w:rsidRPr="007222DA" w:rsidRDefault="00797E51" w:rsidP="007222DA">
      <w:pPr>
        <w:spacing w:after="0" w:line="276" w:lineRule="auto"/>
        <w:rPr>
          <w:rFonts w:ascii="Aptos" w:hAnsi="Aptos"/>
        </w:rPr>
      </w:pPr>
    </w:p>
    <w:p w14:paraId="66238482" w14:textId="77777777" w:rsidR="00797E51" w:rsidRPr="007222DA" w:rsidRDefault="00122A70" w:rsidP="007222DA">
      <w:pPr>
        <w:spacing w:before="100" w:after="60" w:line="276" w:lineRule="auto"/>
        <w:rPr>
          <w:rFonts w:ascii="Aptos" w:hAnsi="Aptos"/>
          <w:sz w:val="28"/>
          <w:szCs w:val="28"/>
        </w:rPr>
      </w:pPr>
      <w:r w:rsidRPr="007222DA">
        <w:rPr>
          <w:rFonts w:ascii="Aptos" w:eastAsia="Arial" w:hAnsi="Aptos"/>
          <w:b/>
          <w:color w:val="00B050"/>
          <w:sz w:val="28"/>
          <w:szCs w:val="28"/>
        </w:rPr>
        <w:t>Role purpose</w:t>
      </w:r>
    </w:p>
    <w:p w14:paraId="7B9F51E7" w14:textId="0669B35C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To lead, coordinate and develop Providence Row’s Health Inclusion Service so that people experiencing homelessness and multiple disadvantage can access high-quality, inclusive health and wellbeing support.</w:t>
      </w:r>
    </w:p>
    <w:p w14:paraId="2A161397" w14:textId="1B207AFD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To oversee the Health Hub, Health &amp; Wellness Fairs and associated partnerships, ensuring delivery is safe, effective, well-coordinated and aligned with organisational priorities and funding requirements.</w:t>
      </w:r>
    </w:p>
    <w:p w14:paraId="2BFA4752" w14:textId="77777777" w:rsidR="00797E51" w:rsidRPr="007222DA" w:rsidRDefault="00797E51" w:rsidP="007222DA">
      <w:pPr>
        <w:spacing w:after="0" w:line="276" w:lineRule="auto"/>
        <w:rPr>
          <w:rFonts w:ascii="Aptos" w:hAnsi="Aptos"/>
        </w:rPr>
      </w:pPr>
    </w:p>
    <w:p w14:paraId="3B8EE8DC" w14:textId="77777777" w:rsidR="00797E51" w:rsidRPr="007222DA" w:rsidRDefault="00122A70" w:rsidP="007222DA">
      <w:pPr>
        <w:spacing w:before="100" w:after="60" w:line="276" w:lineRule="auto"/>
        <w:rPr>
          <w:rFonts w:ascii="Aptos" w:hAnsi="Aptos"/>
          <w:sz w:val="28"/>
          <w:szCs w:val="28"/>
        </w:rPr>
      </w:pPr>
      <w:r w:rsidRPr="007222DA">
        <w:rPr>
          <w:rFonts w:ascii="Aptos" w:eastAsia="Arial" w:hAnsi="Aptos"/>
          <w:b/>
          <w:color w:val="00B050"/>
          <w:sz w:val="28"/>
          <w:szCs w:val="28"/>
        </w:rPr>
        <w:t>Key responsibilities</w:t>
      </w:r>
    </w:p>
    <w:p w14:paraId="7488121E" w14:textId="685A2796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Lead the planning, development and day-to-day delivery of the Health Inclusion Service, including the Health Hub, Health &amp; Wellness Fairs and associated health activity.</w:t>
      </w:r>
    </w:p>
    <w:p w14:paraId="232BECB4" w14:textId="2E807C11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Coordinate partner delivery, facilities, communications and client access so that health activity operates safely and effectively.</w:t>
      </w:r>
    </w:p>
    <w:p w14:paraId="67248D21" w14:textId="3A49F963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Act as the principal operational contact for health partners and maintain clear delivery arrangements, responsibilities and escalation routes.</w:t>
      </w:r>
    </w:p>
    <w:p w14:paraId="00471FBB" w14:textId="682069AF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Develop effective relationships with NHS, public health, local authority, voluntary and community partners.</w:t>
      </w:r>
    </w:p>
    <w:p w14:paraId="4398FC42" w14:textId="12558BB6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Maintain clear referral pathways across Providence Row and external services so that people with unmet or complex health needs can access appropriate support.</w:t>
      </w:r>
    </w:p>
    <w:p w14:paraId="5F125A13" w14:textId="194E7F36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Ensure partnership arrangements cover safeguarding, information sharing, data requirements, service standards and professional or clinical boundaries.</w:t>
      </w:r>
    </w:p>
    <w:p w14:paraId="5E167AEB" w14:textId="7853A6E4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Monitor partner delivery and address concerns about communication, quality, conduct or service performance promptly through agreed procedures.</w:t>
      </w:r>
    </w:p>
    <w:p w14:paraId="1F76786B" w14:textId="7D6E2E29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Ensure health provision is inclusive, responsive to need and supports earlier access to preventative, primary and community healthcare.</w:t>
      </w:r>
    </w:p>
    <w:p w14:paraId="1EF65BB1" w14:textId="0B5FD96C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Identify gaps in provision and develop practical responses with internal teams and external partners, including contingency arrangements for reduced capacity or disruption.</w:t>
      </w:r>
    </w:p>
    <w:p w14:paraId="6C285F54" w14:textId="7F573376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Recognise, respond to and report safeguarding concerns, medical emergencies and significant health or welfare incidents in line with Providence Row’s procedures.</w:t>
      </w:r>
    </w:p>
    <w:p w14:paraId="6C8763A6" w14:textId="1BA93872" w:rsidR="007222DA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Identify and manage operational risks, reviewing incidents and near misses and contributing to risk assessments, continuity planning and improvement actions.</w:t>
      </w:r>
      <w:r w:rsidR="007222DA">
        <w:tab/>
      </w:r>
    </w:p>
    <w:p w14:paraId="57741D49" w14:textId="567B071F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lastRenderedPageBreak/>
        <w:t>Ensure visiting providers understand Providence Row’s safeguarding, incident reporting, health and safety and operational requirements.</w:t>
      </w:r>
    </w:p>
    <w:p w14:paraId="1C944C65" w14:textId="0A8F242C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Maintain clear boundaries between Providence Row’s operational responsibilities and the clinical accountability of appropriately qualified healthcare providers.</w:t>
      </w:r>
    </w:p>
    <w:p w14:paraId="00436E20" w14:textId="1370C97F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Ensure health information is recorded, stored and shared lawfully, with appropriate arrangements for confidentiality, consent, data protection and information sharing.</w:t>
      </w:r>
    </w:p>
    <w:p w14:paraId="35E47447" w14:textId="0CA9AB0A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Ensure appropriate arrangements are in place for the safe management of clinical or hazardous waste, consultation spaces, equipment and materials.</w:t>
      </w:r>
    </w:p>
    <w:p w14:paraId="184D998B" w14:textId="208F9234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Take responsibility for service performance, data quality, monitoring and reporting against agreed targets, KPIs and contractual requirements.</w:t>
      </w:r>
    </w:p>
    <w:p w14:paraId="740831E0" w14:textId="6C042769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Analyse service data, outcomes and feedback to identify unmet need, delivery risks and opportunities for improvement.</w:t>
      </w:r>
    </w:p>
    <w:p w14:paraId="171B88F3" w14:textId="19E0C85E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Provide effective line management and support to relevant staff, volunteers and Peer Mentors, with clear roles, supervision, training and professional boundaries.</w:t>
      </w:r>
    </w:p>
    <w:p w14:paraId="16619CFC" w14:textId="4B9679F4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Work with the Volunteering Team to develop safe and meaningful opportunities and address performance, conduct or wellbeing concerns appropriately.</w:t>
      </w:r>
    </w:p>
    <w:p w14:paraId="39D026B2" w14:textId="2F031AC8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Manage the Health Inclusion budget and resources effectively and contribute to budget planning, funding applications and resource development.</w:t>
      </w:r>
    </w:p>
    <w:p w14:paraId="01694885" w14:textId="5CCE8635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Contribute to wider organisational planning and service development, setting clear priorities and reviewing progress with the Head of Learning &amp; Training Services.</w:t>
      </w:r>
    </w:p>
    <w:p w14:paraId="3F0FBF3A" w14:textId="5E484712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Represent Providence Row at relevant meetings, events and conferences and maintain effective communication with funders, commissioners and partners.</w:t>
      </w:r>
    </w:p>
    <w:p w14:paraId="5A27F4A7" w14:textId="7C698EBA" w:rsidR="00797E51" w:rsidRPr="007222DA" w:rsidRDefault="00122A70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Attend occasional evening or weekend meetings, events and functions where reasonably required.</w:t>
      </w:r>
    </w:p>
    <w:p w14:paraId="0C1D05CF" w14:textId="77777777" w:rsidR="007222DA" w:rsidRPr="007339B1" w:rsidRDefault="007222DA" w:rsidP="007222DA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>
        <w:rPr>
          <w:rFonts w:ascii="Aptos" w:eastAsia="Arial" w:hAnsi="Aptos"/>
        </w:rPr>
        <w:t>U</w:t>
      </w:r>
      <w:r w:rsidRPr="007339B1">
        <w:rPr>
          <w:rFonts w:ascii="Aptos" w:eastAsia="Arial" w:hAnsi="Aptos"/>
        </w:rPr>
        <w:t>ndertake other duties that fall reasonably within the scope and grade of the post.</w:t>
      </w:r>
    </w:p>
    <w:p w14:paraId="05D0B92C" w14:textId="1D91378E" w:rsidR="00C2739D" w:rsidRPr="007222DA" w:rsidRDefault="00122A70" w:rsidP="003E5451">
      <w:pPr>
        <w:pStyle w:val="ListParagraph"/>
        <w:numPr>
          <w:ilvl w:val="0"/>
          <w:numId w:val="37"/>
        </w:numPr>
        <w:spacing w:after="40" w:line="276" w:lineRule="auto"/>
        <w:rPr>
          <w:rFonts w:ascii="Aptos" w:hAnsi="Aptos"/>
        </w:rPr>
      </w:pPr>
      <w:r w:rsidRPr="007222DA">
        <w:rPr>
          <w:rFonts w:ascii="Aptos" w:eastAsia="Arial" w:hAnsi="Aptos"/>
        </w:rPr>
        <w:t>Work in accordance with Providence Row’s values, policies and procedures</w:t>
      </w:r>
      <w:r w:rsidR="007222DA">
        <w:rPr>
          <w:rFonts w:ascii="Aptos" w:eastAsia="Arial" w:hAnsi="Aptos"/>
        </w:rPr>
        <w:t>.</w:t>
      </w:r>
    </w:p>
    <w:p w14:paraId="797EDC01" w14:textId="77777777" w:rsidR="007222DA" w:rsidRPr="007222DA" w:rsidRDefault="007222DA" w:rsidP="007222DA">
      <w:pPr>
        <w:spacing w:after="40" w:line="276" w:lineRule="auto"/>
        <w:rPr>
          <w:rFonts w:ascii="Aptos" w:hAnsi="Aptos"/>
        </w:rPr>
      </w:pPr>
    </w:p>
    <w:p w14:paraId="5EC764AB" w14:textId="49C80280" w:rsidR="00797E51" w:rsidRPr="007222DA" w:rsidRDefault="00122A70" w:rsidP="007222DA">
      <w:pPr>
        <w:spacing w:after="40" w:line="360" w:lineRule="auto"/>
        <w:rPr>
          <w:rFonts w:ascii="Aptos" w:hAnsi="Aptos"/>
          <w:sz w:val="28"/>
          <w:szCs w:val="28"/>
        </w:rPr>
      </w:pPr>
      <w:r w:rsidRPr="007222DA">
        <w:rPr>
          <w:rFonts w:ascii="Aptos" w:eastAsia="Arial" w:hAnsi="Aptos"/>
          <w:b/>
          <w:color w:val="00B050"/>
          <w:sz w:val="28"/>
          <w:szCs w:val="28"/>
        </w:rPr>
        <w:t>Person specification</w:t>
      </w:r>
    </w:p>
    <w:tbl>
      <w:tblPr>
        <w:tblW w:w="9252" w:type="dxa"/>
        <w:jc w:val="center"/>
        <w:tblLayout w:type="fixed"/>
        <w:tblLook w:val="04A0" w:firstRow="1" w:lastRow="0" w:firstColumn="1" w:lastColumn="0" w:noHBand="0" w:noVBand="1"/>
      </w:tblPr>
      <w:tblGrid>
        <w:gridCol w:w="7812"/>
        <w:gridCol w:w="1440"/>
      </w:tblGrid>
      <w:tr w:rsidR="00797E51" w:rsidRPr="007222DA" w14:paraId="6E7F6E9E" w14:textId="77777777" w:rsidTr="007222DA">
        <w:trPr>
          <w:cantSplit/>
          <w:jc w:val="center"/>
        </w:trPr>
        <w:tc>
          <w:tcPr>
            <w:tcW w:w="925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226DEF3B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  <w:b/>
              </w:rPr>
              <w:t>Knowledge and Experience</w:t>
            </w:r>
          </w:p>
        </w:tc>
      </w:tr>
      <w:tr w:rsidR="00797E51" w:rsidRPr="007222DA" w14:paraId="328FD63D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C3887A" w14:textId="07788399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Experience of coordinating or managing health, wellbeing or comparable support services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578B82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2651BDD0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ABE19" w14:textId="5418D236" w:rsidR="00797E51" w:rsidRPr="007222DA" w:rsidRDefault="007222DA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Experience of maintaining reliable service data, monitoring performance and producing accurate reports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FB9A0D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225B5263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EBAD48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Sound understanding of the health inequalities and barriers to healthcare experienced by people facing homelessness, multiple disadvantage or exclusion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635907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2330F68C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7468B9" w14:textId="7FCB9EA9" w:rsidR="00797E51" w:rsidRPr="007222DA" w:rsidRDefault="007222DA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Strong track record of building effective relationships with external providers and coordinating delivery across organisational and professional boundaries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E242FF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43946A0C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6F1E65" w14:textId="4FD0B51E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lastRenderedPageBreak/>
              <w:t>Experience of responding appropriately to safeguarding, health or welfare concerns, with an understanding of confidentiality, consent</w:t>
            </w:r>
            <w:r w:rsidR="007222DA">
              <w:rPr>
                <w:rFonts w:ascii="Aptos" w:eastAsia="Arial" w:hAnsi="Aptos"/>
              </w:rPr>
              <w:t xml:space="preserve"> and</w:t>
            </w:r>
            <w:r w:rsidRPr="007222DA">
              <w:rPr>
                <w:rFonts w:ascii="Aptos" w:eastAsia="Arial" w:hAnsi="Aptos"/>
              </w:rPr>
              <w:t xml:space="preserve"> information sharing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EDD1BF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39F28513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B52A26" w14:textId="3CB678CE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Ability to communicate clearly with people using services, colleagues and external partners, including addressing concerns and challenging poor practice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1EBAD6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31A46BCA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E801DF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Strong judgement, organisation and accountability, with the ability to work independently, escalate risks appropriately and remain effective in a busy service environment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9C84EF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690E6B3D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C7E93F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Confidence using Office 365 and client, case-management or comparable recording systems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4BC698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3818FDF9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501F0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Experience of working directly within homelessness or inclusion-health services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983AEA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Desirable</w:t>
            </w:r>
          </w:p>
        </w:tc>
      </w:tr>
      <w:tr w:rsidR="00797E51" w:rsidRPr="007222DA" w14:paraId="388766E1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D40091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Experience of managing a commissioned or grant-funded service, including budgets, contractual targets or funder reporting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267C9D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Desirable</w:t>
            </w:r>
          </w:p>
        </w:tc>
      </w:tr>
      <w:tr w:rsidR="00797E51" w:rsidRPr="007222DA" w14:paraId="72A84BC0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82A965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Experience of supervising staff, volunteers or people in peer-support roles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A9517F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Desirable</w:t>
            </w:r>
          </w:p>
        </w:tc>
      </w:tr>
      <w:tr w:rsidR="00797E51" w:rsidRPr="007222DA" w14:paraId="53697DA2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6F040E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Demonstrable ability to review service performance and address performance or compliance issues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FB57F0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38746F63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059BD4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Current First Aid qualification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37BDAE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Desirable</w:t>
            </w:r>
          </w:p>
        </w:tc>
      </w:tr>
      <w:tr w:rsidR="00797E51" w:rsidRPr="007222DA" w14:paraId="2893A93A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E20520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Excellent written and verbal communication skills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EB8680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240DEFD1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CFEFE9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Commitment to the core values of Providence Row and a passion for working with people impacted by homelessness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338F52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703DEAEB" w14:textId="77777777" w:rsidTr="007222DA">
        <w:trPr>
          <w:cantSplit/>
          <w:jc w:val="center"/>
        </w:trPr>
        <w:tc>
          <w:tcPr>
            <w:tcW w:w="925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45B5F327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  <w:b/>
              </w:rPr>
              <w:t>Competencies</w:t>
            </w:r>
          </w:p>
        </w:tc>
      </w:tr>
      <w:tr w:rsidR="00797E51" w:rsidRPr="007222DA" w14:paraId="5A8D8242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6A2BB7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Good attention to detail, ensuring accuracy and precision in tasks and documentation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1BC627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1C408B25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CB11BF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Able to work to deadlines and within defined standards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7471D9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2DF6478E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26D7D7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Proactive and able to obtain the information needed for the role, with a flexible and practical approach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33454C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06A2C932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23EF59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Able to identify challenges and use initiative to implement effective solutions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A1FE39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72E81343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0D39A3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Able to communicate and negotiate professionally and effectively with a range of internal and external stakeholders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68FE14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4B2A6F17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37F4EA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Demonstrates emotional intelligence, understands the needs of others and recognises the impact of their behaviour on others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BB8D5A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33FC697B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F4A471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Takes time to understand difficulties without pre-judgement and with a view to overcoming them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5549C9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27AE59D2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6755C4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lastRenderedPageBreak/>
              <w:t>Exercises the same degree of consideration and care for all those who come to Providence Row, whatever the reason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52485A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564A38EB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B89ECF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Welcomes and seeks to involve everybody, whatever their background, presenting issues, ethnicity, nationality or faith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B15D04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2621E7F1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7680BC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Works with people, not for people, to enable them to realise their gifts, abilities and talents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35A5AE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4CA77EA9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CBD965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Acts fairly and promotes justice within the organisation and in relation to the needs and rights of people who use our services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5FF786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  <w:tr w:rsidR="00797E51" w:rsidRPr="007222DA" w14:paraId="67FF3F37" w14:textId="77777777" w:rsidTr="007222DA">
        <w:trPr>
          <w:cantSplit/>
          <w:jc w:val="center"/>
        </w:trPr>
        <w:tc>
          <w:tcPr>
            <w:tcW w:w="7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B2EEF6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Accountable, trustworthy and dependable for their own performance</w:t>
            </w:r>
          </w:p>
        </w:tc>
        <w:tc>
          <w:tcPr>
            <w:tcW w:w="14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863DD6" w14:textId="77777777" w:rsidR="00797E51" w:rsidRPr="007222DA" w:rsidRDefault="00122A70" w:rsidP="007222DA">
            <w:pPr>
              <w:spacing w:after="0" w:line="276" w:lineRule="auto"/>
              <w:rPr>
                <w:rFonts w:ascii="Aptos" w:hAnsi="Aptos"/>
              </w:rPr>
            </w:pPr>
            <w:r w:rsidRPr="007222DA">
              <w:rPr>
                <w:rFonts w:ascii="Aptos" w:eastAsia="Arial" w:hAnsi="Aptos"/>
              </w:rPr>
              <w:t>Essential</w:t>
            </w:r>
          </w:p>
        </w:tc>
      </w:tr>
    </w:tbl>
    <w:p w14:paraId="46290037" w14:textId="77777777" w:rsidR="00CE3B84" w:rsidRPr="007222DA" w:rsidRDefault="00CE3B84" w:rsidP="007222DA">
      <w:pPr>
        <w:spacing w:line="276" w:lineRule="auto"/>
        <w:rPr>
          <w:rFonts w:ascii="Aptos" w:hAnsi="Aptos"/>
        </w:rPr>
      </w:pPr>
    </w:p>
    <w:sectPr w:rsidR="00CE3B84" w:rsidRPr="007222DA" w:rsidSect="007222DA">
      <w:headerReference w:type="default" r:id="rId10"/>
      <w:footerReference w:type="default" r:id="rId11"/>
      <w:pgSz w:w="11906" w:h="16838"/>
      <w:pgMar w:top="1985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CA1E" w14:textId="77777777" w:rsidR="00DF2328" w:rsidRDefault="00DF2328" w:rsidP="00587095">
      <w:pPr>
        <w:spacing w:after="0" w:line="240" w:lineRule="auto"/>
      </w:pPr>
      <w:r>
        <w:separator/>
      </w:r>
    </w:p>
  </w:endnote>
  <w:endnote w:type="continuationSeparator" w:id="0">
    <w:p w14:paraId="650FE2D1" w14:textId="77777777" w:rsidR="00DF2328" w:rsidRDefault="00DF2328" w:rsidP="0058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9B50" w14:textId="77777777" w:rsidR="00587095" w:rsidRPr="007222DA" w:rsidRDefault="00587095" w:rsidP="00587095">
    <w:pPr>
      <w:pStyle w:val="Footer"/>
      <w:jc w:val="center"/>
      <w:rPr>
        <w:sz w:val="20"/>
        <w:szCs w:val="20"/>
      </w:rPr>
    </w:pPr>
    <w:r w:rsidRPr="007222DA">
      <w:rPr>
        <w:sz w:val="20"/>
        <w:szCs w:val="20"/>
      </w:rPr>
      <w:t>Providence Row, The Dellow Centre, 82 Wentworth Street, London E1 7SA</w:t>
    </w:r>
  </w:p>
  <w:p w14:paraId="21DA2322" w14:textId="77777777" w:rsidR="00587095" w:rsidRPr="007222DA" w:rsidRDefault="00587095" w:rsidP="00587095">
    <w:pPr>
      <w:pStyle w:val="Footer"/>
      <w:jc w:val="center"/>
      <w:rPr>
        <w:sz w:val="20"/>
        <w:szCs w:val="20"/>
      </w:rPr>
    </w:pPr>
    <w:r w:rsidRPr="007222DA">
      <w:rPr>
        <w:sz w:val="20"/>
        <w:szCs w:val="20"/>
      </w:rPr>
      <w:t xml:space="preserve">Tel: 020 7375 0020, </w:t>
    </w:r>
    <w:hyperlink r:id="rId1" w:history="1">
      <w:r w:rsidRPr="007222DA">
        <w:rPr>
          <w:rStyle w:val="Hyperlink"/>
          <w:sz w:val="20"/>
          <w:szCs w:val="20"/>
        </w:rPr>
        <w:t>info@providencerow.org.uk</w:t>
      </w:r>
    </w:hyperlink>
    <w:r w:rsidRPr="007222DA">
      <w:rPr>
        <w:sz w:val="20"/>
        <w:szCs w:val="20"/>
      </w:rPr>
      <w:t>, www.providencerow.org.uk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EF72" w14:textId="77777777" w:rsidR="00DF2328" w:rsidRDefault="00DF2328" w:rsidP="00587095">
      <w:pPr>
        <w:spacing w:after="0" w:line="240" w:lineRule="auto"/>
      </w:pPr>
      <w:r>
        <w:separator/>
      </w:r>
    </w:p>
  </w:footnote>
  <w:footnote w:type="continuationSeparator" w:id="0">
    <w:p w14:paraId="5E298F16" w14:textId="77777777" w:rsidR="00DF2328" w:rsidRDefault="00DF2328" w:rsidP="0058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896A" w14:textId="77777777" w:rsidR="00CC11D4" w:rsidRDefault="00CC11D4">
    <w:pPr>
      <w:pStyle w:val="Header"/>
    </w:pPr>
    <w:r w:rsidRPr="00BD4062">
      <w:rPr>
        <w:rFonts w:cs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445DFE0F" wp14:editId="454514C2">
          <wp:simplePos x="0" y="0"/>
          <wp:positionH relativeFrom="margin">
            <wp:align>center</wp:align>
          </wp:positionH>
          <wp:positionV relativeFrom="paragraph">
            <wp:posOffset>-210185</wp:posOffset>
          </wp:positionV>
          <wp:extent cx="3756586" cy="71755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6586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838"/>
    <w:multiLevelType w:val="hybridMultilevel"/>
    <w:tmpl w:val="C1927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F2022"/>
    <w:multiLevelType w:val="multilevel"/>
    <w:tmpl w:val="E802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E24F45"/>
    <w:multiLevelType w:val="multilevel"/>
    <w:tmpl w:val="9DF4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7F2916"/>
    <w:multiLevelType w:val="hybridMultilevel"/>
    <w:tmpl w:val="D424F4FE"/>
    <w:lvl w:ilvl="0" w:tplc="F45CF63A">
      <w:numFmt w:val="bullet"/>
      <w:lvlText w:val="•"/>
      <w:lvlJc w:val="left"/>
      <w:pPr>
        <w:ind w:left="648" w:hanging="360"/>
      </w:pPr>
      <w:rPr>
        <w:rFonts w:ascii="Arial" w:eastAsia="Arial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11FA48A8"/>
    <w:multiLevelType w:val="hybridMultilevel"/>
    <w:tmpl w:val="4544BF0A"/>
    <w:lvl w:ilvl="0" w:tplc="E2682E6C">
      <w:numFmt w:val="bullet"/>
      <w:lvlText w:val="-"/>
      <w:lvlJc w:val="left"/>
      <w:pPr>
        <w:ind w:left="0" w:hanging="51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</w:abstractNum>
  <w:abstractNum w:abstractNumId="5" w15:restartNumberingAfterBreak="0">
    <w:nsid w:val="14F41484"/>
    <w:multiLevelType w:val="multilevel"/>
    <w:tmpl w:val="6676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3A3D43"/>
    <w:multiLevelType w:val="hybridMultilevel"/>
    <w:tmpl w:val="E3FAA5EE"/>
    <w:lvl w:ilvl="0" w:tplc="0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1F510EE6"/>
    <w:multiLevelType w:val="multilevel"/>
    <w:tmpl w:val="714A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CF33E1"/>
    <w:multiLevelType w:val="multilevel"/>
    <w:tmpl w:val="0674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4F5BB1"/>
    <w:multiLevelType w:val="multilevel"/>
    <w:tmpl w:val="B312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AD7244"/>
    <w:multiLevelType w:val="multilevel"/>
    <w:tmpl w:val="CCAA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BA0291"/>
    <w:multiLevelType w:val="multilevel"/>
    <w:tmpl w:val="504E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F80463"/>
    <w:multiLevelType w:val="hybridMultilevel"/>
    <w:tmpl w:val="C82A6ECA"/>
    <w:lvl w:ilvl="0" w:tplc="B1FA75F0">
      <w:numFmt w:val="bullet"/>
      <w:lvlText w:val="•"/>
      <w:lvlJc w:val="left"/>
      <w:pPr>
        <w:ind w:left="504" w:hanging="360"/>
      </w:pPr>
      <w:rPr>
        <w:rFonts w:ascii="Arial" w:eastAsia="Arial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3" w15:restartNumberingAfterBreak="0">
    <w:nsid w:val="32D55797"/>
    <w:multiLevelType w:val="hybridMultilevel"/>
    <w:tmpl w:val="15745082"/>
    <w:lvl w:ilvl="0" w:tplc="08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4" w15:restartNumberingAfterBreak="0">
    <w:nsid w:val="342B157F"/>
    <w:multiLevelType w:val="hybridMultilevel"/>
    <w:tmpl w:val="D6343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336BB"/>
    <w:multiLevelType w:val="multilevel"/>
    <w:tmpl w:val="C17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990462"/>
    <w:multiLevelType w:val="hybridMultilevel"/>
    <w:tmpl w:val="BDEEC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E0A72"/>
    <w:multiLevelType w:val="hybridMultilevel"/>
    <w:tmpl w:val="B0B239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08208D"/>
    <w:multiLevelType w:val="hybridMultilevel"/>
    <w:tmpl w:val="EDBE2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D6DBB"/>
    <w:multiLevelType w:val="hybridMultilevel"/>
    <w:tmpl w:val="DA9C2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24DA9"/>
    <w:multiLevelType w:val="multilevel"/>
    <w:tmpl w:val="3520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923DA3"/>
    <w:multiLevelType w:val="multilevel"/>
    <w:tmpl w:val="B2AA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423E35"/>
    <w:multiLevelType w:val="multilevel"/>
    <w:tmpl w:val="89C0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9F6955"/>
    <w:multiLevelType w:val="multilevel"/>
    <w:tmpl w:val="7E1C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D8545A"/>
    <w:multiLevelType w:val="hybridMultilevel"/>
    <w:tmpl w:val="703E5788"/>
    <w:lvl w:ilvl="0" w:tplc="08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25" w15:restartNumberingAfterBreak="0">
    <w:nsid w:val="5E9C51C3"/>
    <w:multiLevelType w:val="hybridMultilevel"/>
    <w:tmpl w:val="BE60F2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B36D6D"/>
    <w:multiLevelType w:val="multilevel"/>
    <w:tmpl w:val="8182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15360B"/>
    <w:multiLevelType w:val="hybridMultilevel"/>
    <w:tmpl w:val="2326AD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2A465C"/>
    <w:multiLevelType w:val="multilevel"/>
    <w:tmpl w:val="E62E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397891"/>
    <w:multiLevelType w:val="multilevel"/>
    <w:tmpl w:val="27C0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205C75"/>
    <w:multiLevelType w:val="hybridMultilevel"/>
    <w:tmpl w:val="74B271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0210A6"/>
    <w:multiLevelType w:val="hybridMultilevel"/>
    <w:tmpl w:val="A7387D72"/>
    <w:lvl w:ilvl="0" w:tplc="08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2" w15:restartNumberingAfterBreak="0">
    <w:nsid w:val="6ED528CC"/>
    <w:multiLevelType w:val="multilevel"/>
    <w:tmpl w:val="A246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1FA48FD"/>
    <w:multiLevelType w:val="hybridMultilevel"/>
    <w:tmpl w:val="A860D420"/>
    <w:lvl w:ilvl="0" w:tplc="E2682E6C">
      <w:numFmt w:val="bullet"/>
      <w:lvlText w:val="-"/>
      <w:lvlJc w:val="left"/>
      <w:pPr>
        <w:ind w:left="-510" w:hanging="51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4" w15:restartNumberingAfterBreak="0">
    <w:nsid w:val="760F75A1"/>
    <w:multiLevelType w:val="multilevel"/>
    <w:tmpl w:val="ED80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1A4566"/>
    <w:multiLevelType w:val="hybridMultilevel"/>
    <w:tmpl w:val="19542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87859"/>
    <w:multiLevelType w:val="multilevel"/>
    <w:tmpl w:val="964C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BE6051"/>
    <w:multiLevelType w:val="multilevel"/>
    <w:tmpl w:val="9AAA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D9938BD"/>
    <w:multiLevelType w:val="hybridMultilevel"/>
    <w:tmpl w:val="77DE2032"/>
    <w:lvl w:ilvl="0" w:tplc="7B781414">
      <w:numFmt w:val="bullet"/>
      <w:lvlText w:val="•"/>
      <w:lvlJc w:val="left"/>
      <w:pPr>
        <w:ind w:left="504" w:hanging="360"/>
      </w:pPr>
      <w:rPr>
        <w:rFonts w:ascii="Arial" w:eastAsia="Arial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 w16cid:durableId="1293368377">
    <w:abstractNumId w:val="13"/>
  </w:num>
  <w:num w:numId="2" w16cid:durableId="925335447">
    <w:abstractNumId w:val="4"/>
  </w:num>
  <w:num w:numId="3" w16cid:durableId="1133408200">
    <w:abstractNumId w:val="33"/>
  </w:num>
  <w:num w:numId="4" w16cid:durableId="2051955540">
    <w:abstractNumId w:val="18"/>
  </w:num>
  <w:num w:numId="5" w16cid:durableId="678775676">
    <w:abstractNumId w:val="24"/>
  </w:num>
  <w:num w:numId="6" w16cid:durableId="1272206187">
    <w:abstractNumId w:val="25"/>
  </w:num>
  <w:num w:numId="7" w16cid:durableId="1418479002">
    <w:abstractNumId w:val="31"/>
  </w:num>
  <w:num w:numId="8" w16cid:durableId="1517110336">
    <w:abstractNumId w:val="21"/>
  </w:num>
  <w:num w:numId="9" w16cid:durableId="257759978">
    <w:abstractNumId w:val="37"/>
  </w:num>
  <w:num w:numId="10" w16cid:durableId="1733191553">
    <w:abstractNumId w:val="22"/>
  </w:num>
  <w:num w:numId="11" w16cid:durableId="1249775086">
    <w:abstractNumId w:val="36"/>
  </w:num>
  <w:num w:numId="12" w16cid:durableId="1235430157">
    <w:abstractNumId w:val="9"/>
  </w:num>
  <w:num w:numId="13" w16cid:durableId="1809131366">
    <w:abstractNumId w:val="5"/>
  </w:num>
  <w:num w:numId="14" w16cid:durableId="615599666">
    <w:abstractNumId w:val="10"/>
  </w:num>
  <w:num w:numId="15" w16cid:durableId="1190485581">
    <w:abstractNumId w:val="2"/>
  </w:num>
  <w:num w:numId="16" w16cid:durableId="1924795842">
    <w:abstractNumId w:val="29"/>
  </w:num>
  <w:num w:numId="17" w16cid:durableId="1359044171">
    <w:abstractNumId w:val="28"/>
  </w:num>
  <w:num w:numId="18" w16cid:durableId="586766902">
    <w:abstractNumId w:val="7"/>
  </w:num>
  <w:num w:numId="19" w16cid:durableId="374235875">
    <w:abstractNumId w:val="15"/>
  </w:num>
  <w:num w:numId="20" w16cid:durableId="512493034">
    <w:abstractNumId w:val="1"/>
  </w:num>
  <w:num w:numId="21" w16cid:durableId="1103502079">
    <w:abstractNumId w:val="34"/>
  </w:num>
  <w:num w:numId="22" w16cid:durableId="1937054213">
    <w:abstractNumId w:val="11"/>
  </w:num>
  <w:num w:numId="23" w16cid:durableId="623585227">
    <w:abstractNumId w:val="26"/>
  </w:num>
  <w:num w:numId="24" w16cid:durableId="2098597130">
    <w:abstractNumId w:val="8"/>
  </w:num>
  <w:num w:numId="25" w16cid:durableId="1140267708">
    <w:abstractNumId w:val="32"/>
  </w:num>
  <w:num w:numId="26" w16cid:durableId="1411194346">
    <w:abstractNumId w:val="23"/>
  </w:num>
  <w:num w:numId="27" w16cid:durableId="1419517890">
    <w:abstractNumId w:val="27"/>
  </w:num>
  <w:num w:numId="28" w16cid:durableId="365524076">
    <w:abstractNumId w:val="0"/>
  </w:num>
  <w:num w:numId="29" w16cid:durableId="2130738235">
    <w:abstractNumId w:val="30"/>
  </w:num>
  <w:num w:numId="30" w16cid:durableId="110714235">
    <w:abstractNumId w:val="17"/>
  </w:num>
  <w:num w:numId="31" w16cid:durableId="1008169386">
    <w:abstractNumId w:val="20"/>
  </w:num>
  <w:num w:numId="32" w16cid:durableId="1155219471">
    <w:abstractNumId w:val="19"/>
  </w:num>
  <w:num w:numId="33" w16cid:durableId="858786061">
    <w:abstractNumId w:val="35"/>
  </w:num>
  <w:num w:numId="34" w16cid:durableId="2066492226">
    <w:abstractNumId w:val="14"/>
  </w:num>
  <w:num w:numId="35" w16cid:durableId="1987540540">
    <w:abstractNumId w:val="16"/>
  </w:num>
  <w:num w:numId="36" w16cid:durableId="1165899005">
    <w:abstractNumId w:val="6"/>
  </w:num>
  <w:num w:numId="37" w16cid:durableId="1686512294">
    <w:abstractNumId w:val="38"/>
  </w:num>
  <w:num w:numId="38" w16cid:durableId="2003043397">
    <w:abstractNumId w:val="3"/>
  </w:num>
  <w:num w:numId="39" w16cid:durableId="1454056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67413"/>
  <w15:chartTrackingRefBased/>
  <w15:docId w15:val="{602B4161-BA59-4909-AF3A-4DD3F630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095"/>
  </w:style>
  <w:style w:type="paragraph" w:styleId="Footer">
    <w:name w:val="footer"/>
    <w:basedOn w:val="Normal"/>
    <w:link w:val="FooterChar"/>
    <w:uiPriority w:val="99"/>
    <w:unhideWhenUsed/>
    <w:rsid w:val="0058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095"/>
  </w:style>
  <w:style w:type="character" w:styleId="Hyperlink">
    <w:name w:val="Hyperlink"/>
    <w:basedOn w:val="DefaultParagraphFont"/>
    <w:uiPriority w:val="99"/>
    <w:unhideWhenUsed/>
    <w:rsid w:val="0058709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70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70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3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08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8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5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1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8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4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4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6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3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5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8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7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0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3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0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4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92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3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7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0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9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75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6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3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6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6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6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8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8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rovidencerow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