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3BB2" w14:textId="0FF666F5" w:rsidR="003A0FD4" w:rsidRPr="00125FDB" w:rsidRDefault="00030A77" w:rsidP="00421BFF">
      <w:pPr>
        <w:spacing w:line="276" w:lineRule="auto"/>
        <w:ind w:right="181"/>
        <w:jc w:val="both"/>
        <w:rPr>
          <w:rFonts w:ascii="Arial" w:hAnsi="Arial" w:cs="Arial"/>
          <w:sz w:val="22"/>
          <w:szCs w:val="22"/>
        </w:rPr>
      </w:pPr>
      <w:r w:rsidRPr="00125FD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D88EA8" wp14:editId="305A541A">
            <wp:simplePos x="0" y="0"/>
            <wp:positionH relativeFrom="column">
              <wp:posOffset>-314325</wp:posOffset>
            </wp:positionH>
            <wp:positionV relativeFrom="page">
              <wp:posOffset>381000</wp:posOffset>
            </wp:positionV>
            <wp:extent cx="1038225" cy="1038225"/>
            <wp:effectExtent l="0" t="0" r="9525" b="9525"/>
            <wp:wrapSquare wrapText="bothSides"/>
            <wp:docPr id="64723749" name="Picture 1" descr="A purpl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3749" name="Picture 1" descr="A purple background with white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CD0F1" w14:textId="77777777" w:rsidR="003A0FD4" w:rsidRPr="00125FDB" w:rsidRDefault="003A0FD4" w:rsidP="00B72E98">
      <w:pPr>
        <w:spacing w:line="276" w:lineRule="auto"/>
        <w:ind w:right="180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6"/>
        <w:gridCol w:w="6753"/>
      </w:tblGrid>
      <w:tr w:rsidR="003A0FD4" w:rsidRPr="00125FDB" w14:paraId="597517F1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F06B184" w14:textId="5D03A6A7" w:rsidR="003A0FD4" w:rsidRPr="00125FDB" w:rsidRDefault="003B321B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Job </w:t>
            </w:r>
            <w:r w:rsidR="00C40868"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itle</w:t>
            </w:r>
            <w:r w:rsidR="00C40868"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D4EC2B" w14:textId="126312CA" w:rsidR="003A0FD4" w:rsidRPr="00125FDB" w:rsidRDefault="00433787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Grants Programme Officer</w:t>
            </w:r>
          </w:p>
        </w:tc>
      </w:tr>
      <w:tr w:rsidR="003A0FD4" w:rsidRPr="00125FDB" w14:paraId="2ADBD516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CC68678" w14:textId="2B09B270" w:rsidR="003A0FD4" w:rsidRPr="00125FDB" w:rsidRDefault="003B321B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Department/Section</w:t>
            </w:r>
            <w:r w:rsidR="00C40868"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17D98" w14:textId="526F2554" w:rsidR="003A0FD4" w:rsidRPr="00125FDB" w:rsidRDefault="00433787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Programmes team</w:t>
            </w:r>
          </w:p>
        </w:tc>
      </w:tr>
      <w:tr w:rsidR="00C40868" w:rsidRPr="00125FDB" w14:paraId="2E3A4E3B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45E7208" w14:textId="28973903" w:rsidR="00C40868" w:rsidRPr="00125FDB" w:rsidRDefault="00C40868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Reporting To: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4989DA" w14:textId="6339AA7B" w:rsidR="00C40868" w:rsidRPr="00125FDB" w:rsidRDefault="00433787" w:rsidP="001A7FA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Programmes Lead – Living Well with Psychosis</w:t>
            </w:r>
          </w:p>
        </w:tc>
      </w:tr>
      <w:tr w:rsidR="00C40868" w:rsidRPr="00125FDB" w14:paraId="692DBE2C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1444121" w14:textId="78B61420" w:rsidR="00C40868" w:rsidRPr="00125FDB" w:rsidRDefault="00C40868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Hours (FTE):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837BB5" w14:textId="04BDD486" w:rsidR="00C40868" w:rsidRPr="00125FDB" w:rsidRDefault="006F1FDB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37.5</w:t>
            </w:r>
          </w:p>
        </w:tc>
      </w:tr>
      <w:tr w:rsidR="00C40868" w:rsidRPr="00125FDB" w14:paraId="0F41DA57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3642067" w14:textId="2A0B88F0" w:rsidR="00C40868" w:rsidRPr="00125FDB" w:rsidRDefault="00C40868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3BFC10" w14:textId="0A4AF0EF" w:rsidR="00C40868" w:rsidRPr="00125FDB" w:rsidRDefault="004D5FCC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Charity office and homeworking - h</w:t>
            </w:r>
            <w:r w:rsidR="00D12B58" w:rsidRPr="00125FDB">
              <w:rPr>
                <w:rFonts w:ascii="Arial" w:hAnsi="Arial" w:cs="Arial"/>
                <w:sz w:val="22"/>
                <w:szCs w:val="22"/>
              </w:rPr>
              <w:t xml:space="preserve">ybrid </w:t>
            </w:r>
            <w:r w:rsidRPr="00125FDB">
              <w:rPr>
                <w:rFonts w:ascii="Arial" w:hAnsi="Arial" w:cs="Arial"/>
                <w:sz w:val="22"/>
                <w:szCs w:val="22"/>
              </w:rPr>
              <w:t>w</w:t>
            </w:r>
            <w:r w:rsidR="00D12B58" w:rsidRPr="00125FDB">
              <w:rPr>
                <w:rFonts w:ascii="Arial" w:hAnsi="Arial" w:cs="Arial"/>
                <w:sz w:val="22"/>
                <w:szCs w:val="22"/>
              </w:rPr>
              <w:t xml:space="preserve">orking </w:t>
            </w:r>
          </w:p>
        </w:tc>
      </w:tr>
      <w:tr w:rsidR="00C40868" w:rsidRPr="00125FDB" w14:paraId="48E59ACC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0791BE8" w14:textId="75396D29" w:rsidR="00C40868" w:rsidRPr="00125FDB" w:rsidRDefault="00C40868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Direct</w:t>
            </w:r>
            <w:r w:rsidR="00D12B58" w:rsidRPr="00125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Reports</w:t>
            </w:r>
            <w:r w:rsidR="00566A13" w:rsidRPr="00125F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(Y/N)</w:t>
            </w: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3066D3" w14:textId="6FA3DFD4" w:rsidR="00C40868" w:rsidRPr="00125FDB" w:rsidRDefault="00910D86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  <w:tr w:rsidR="00566A13" w:rsidRPr="00125FDB" w14:paraId="7B210451" w14:textId="77777777" w:rsidTr="3A05C8FE">
        <w:tc>
          <w:tcPr>
            <w:tcW w:w="28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A9BF5E1" w14:textId="444D7B24" w:rsidR="00566A13" w:rsidRPr="00125FDB" w:rsidRDefault="00566A13" w:rsidP="001A7F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34A815" w14:textId="284C8B1B" w:rsidR="00566A13" w:rsidRPr="00125FDB" w:rsidRDefault="00910D86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£35,000 per annum</w:t>
            </w:r>
          </w:p>
        </w:tc>
      </w:tr>
      <w:tr w:rsidR="00C40868" w:rsidRPr="00125FDB" w14:paraId="179AC0F7" w14:textId="77777777" w:rsidTr="3A05C8FE"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D6079CE" w14:textId="088840FD" w:rsidR="00C40868" w:rsidRPr="00125FDB" w:rsidRDefault="00C40868" w:rsidP="001A7F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92DA834" w14:textId="77777777" w:rsidR="00C40868" w:rsidRPr="00125FDB" w:rsidRDefault="00C40868" w:rsidP="001A7FA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3D4E" w:rsidRPr="00125FDB" w14:paraId="5EC7F4E9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35462360" w14:textId="1ABACA30" w:rsidR="00223D4E" w:rsidRPr="00125FDB" w:rsidRDefault="00223D4E" w:rsidP="001A7FA8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Role Purpose:</w:t>
            </w:r>
          </w:p>
        </w:tc>
      </w:tr>
      <w:tr w:rsidR="0022327C" w:rsidRPr="00125FDB" w14:paraId="0A6771E3" w14:textId="77777777" w:rsidTr="3A05C8FE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F58AE9" w14:textId="77777777" w:rsidR="005D1C1F" w:rsidRPr="00125FDB" w:rsidRDefault="005D1C1F" w:rsidP="005D1C1F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The role will be responsible for managing grant application processes and a grant portfolio with guidance from a Programme Lead.</w:t>
            </w:r>
          </w:p>
          <w:p w14:paraId="5EDEFEC2" w14:textId="77777777" w:rsidR="005D1C1F" w:rsidRPr="00125FDB" w:rsidRDefault="005D1C1F" w:rsidP="005D1C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21CCC" w14:textId="560103ED" w:rsidR="008F596C" w:rsidRPr="00125FDB" w:rsidRDefault="005D1C1F" w:rsidP="005D1C1F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The role will be part of our Programmes team and will work with NHS and Kings College London colleagues</w:t>
            </w:r>
            <w:r w:rsidR="3A74C23B" w:rsidRPr="00125FDB">
              <w:rPr>
                <w:rFonts w:ascii="Arial" w:hAnsi="Arial" w:cs="Arial"/>
                <w:sz w:val="22"/>
                <w:szCs w:val="22"/>
              </w:rPr>
              <w:t xml:space="preserve"> as well as local community and voluntary sector organisations</w:t>
            </w:r>
            <w:r w:rsidRPr="00125FDB">
              <w:rPr>
                <w:rFonts w:ascii="Arial" w:hAnsi="Arial" w:cs="Arial"/>
                <w:sz w:val="22"/>
                <w:szCs w:val="22"/>
              </w:rPr>
              <w:t xml:space="preserve">. The role will also provide project management and administration support to our team of Programme Leads on specific areas of 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work, and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 xml:space="preserve"> will take part in our learning and development activities.</w:t>
            </w:r>
          </w:p>
        </w:tc>
      </w:tr>
      <w:tr w:rsidR="00223D4E" w:rsidRPr="00125FDB" w14:paraId="3DD31ED0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50789AAF" w14:textId="39CC3119" w:rsidR="00223D4E" w:rsidRPr="00125FDB" w:rsidRDefault="343F57F5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Accountabilities/Responsibilities:</w:t>
            </w:r>
          </w:p>
        </w:tc>
      </w:tr>
      <w:tr w:rsidR="0022327C" w:rsidRPr="00125FDB" w14:paraId="6885454C" w14:textId="77777777" w:rsidTr="3A05C8FE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839FB4F" w14:textId="77777777" w:rsidR="00F20A8C" w:rsidRPr="00125FDB" w:rsidRDefault="00F20A8C" w:rsidP="00F20A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Grant management</w:t>
            </w:r>
          </w:p>
          <w:p w14:paraId="236AD07B" w14:textId="4DA2B87B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Support with all aspects of grant-making, including the application review process, undertaking due diligence, liaising with applicants and supporting decision-making processes</w:t>
            </w:r>
          </w:p>
          <w:p w14:paraId="53CCBCCC" w14:textId="176F624B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Manage and monitor a portfolio of grants from programmes across the Programmes team, with support from the relevant Programme Leads </w:t>
            </w:r>
          </w:p>
          <w:p w14:paraId="7073CE33" w14:textId="3500CDDF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Provide project management support to our team of Programme Leads on specific agreed areas of work</w:t>
            </w:r>
          </w:p>
          <w:p w14:paraId="5D91AA07" w14:textId="77777777" w:rsidR="00F20A8C" w:rsidRPr="00125FDB" w:rsidRDefault="00F20A8C" w:rsidP="00F2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A708B" w14:textId="77777777" w:rsidR="00F20A8C" w:rsidRPr="00125FDB" w:rsidRDefault="00F20A8C" w:rsidP="00F20A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Impact development</w:t>
            </w:r>
          </w:p>
          <w:p w14:paraId="7C7C3B44" w14:textId="0FF89C1A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Gather knowledge and learning from grant holders and share insights with the Charity. </w:t>
            </w:r>
          </w:p>
          <w:p w14:paraId="44FA9770" w14:textId="12DA917A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To work with the Programmes team to develop the wider impact of Maudsley Charity, support this by setting up and helping run workshops and events. </w:t>
            </w:r>
          </w:p>
          <w:p w14:paraId="5C9087B7" w14:textId="1F212DF0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work with the Programmes Team to support the delivery and development of the Charity’s approach to grant monitoring and impact capture.</w:t>
            </w:r>
          </w:p>
          <w:p w14:paraId="5BB01548" w14:textId="77777777" w:rsidR="00F20A8C" w:rsidRPr="00125FDB" w:rsidRDefault="00F20A8C" w:rsidP="00F2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36421" w14:textId="77777777" w:rsidR="00F20A8C" w:rsidRPr="00125FDB" w:rsidRDefault="00F20A8C" w:rsidP="00F20A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Systems and processes</w:t>
            </w:r>
          </w:p>
          <w:p w14:paraId="10150801" w14:textId="4929440C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follow our grant management processes and to work with colleagues to contribute ideas to their ongoing improvement</w:t>
            </w:r>
          </w:p>
          <w:p w14:paraId="11E0C2D1" w14:textId="35BCD56E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administer grant making through the award system, and able to use it for day-to-day tasks, ensuring there is an accurate audit trail for monitoring and decision making.</w:t>
            </w:r>
          </w:p>
          <w:p w14:paraId="215D0707" w14:textId="77777777" w:rsidR="00F20A8C" w:rsidRPr="00125FDB" w:rsidRDefault="00F20A8C" w:rsidP="00F2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E8518" w14:textId="77777777" w:rsidR="00F20A8C" w:rsidRPr="00125FDB" w:rsidRDefault="00F20A8C" w:rsidP="00F20A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Collaborate across the Charity</w:t>
            </w:r>
          </w:p>
          <w:p w14:paraId="3A64DA43" w14:textId="28761E0E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To work with our Finance and Operations team to ensure funds are accounted for in a clear and timely manner. </w:t>
            </w:r>
          </w:p>
          <w:p w14:paraId="4A160F96" w14:textId="3F10F854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work effectively and collaboratively with Communications and Fundraising colleagues such as when gathering information for case studies and storytelling</w:t>
            </w:r>
          </w:p>
          <w:p w14:paraId="4B60BFC3" w14:textId="52F68C50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work with Fundraising and Finance colleagues when developing grants from restricted donations to the Charity</w:t>
            </w:r>
          </w:p>
          <w:p w14:paraId="59A9869D" w14:textId="4C5D69CE" w:rsidR="00F20A8C" w:rsidRPr="00125FDB" w:rsidRDefault="00F20A8C" w:rsidP="00125FDB">
            <w:pPr>
              <w:pStyle w:val="ListParagraph"/>
              <w:numPr>
                <w:ilvl w:val="0"/>
                <w:numId w:val="20"/>
              </w:numPr>
              <w:ind w:left="465" w:hanging="426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To collaborate and contribute effectively to 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develop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improve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 xml:space="preserve"> the work of a small team, who are focused on increasing positive outcomes for those affected by mental health conditions.</w:t>
            </w:r>
          </w:p>
          <w:p w14:paraId="19BFA763" w14:textId="49C1DA40" w:rsidR="00B93FD5" w:rsidRPr="00125FDB" w:rsidRDefault="00B93FD5" w:rsidP="001A7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F0A" w:rsidRPr="00125FDB" w14:paraId="716A2C17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3CF3D61F" w14:textId="77777777" w:rsidR="00D33F0A" w:rsidRPr="00125FDB" w:rsidRDefault="00D33F0A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Responsible for Staff: </w:t>
            </w:r>
          </w:p>
        </w:tc>
      </w:tr>
      <w:tr w:rsidR="00D33F0A" w:rsidRPr="00125FDB" w14:paraId="610223E6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3059F0" w14:textId="4B46D7E8" w:rsidR="00E05F69" w:rsidRPr="00125FDB" w:rsidRDefault="00F20A8C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6A949417" w14:textId="280046D0" w:rsidR="008F596C" w:rsidRPr="00125FDB" w:rsidRDefault="008F596C" w:rsidP="001A7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F0A" w:rsidRPr="00125FDB" w14:paraId="600CF760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2A281DD3" w14:textId="77777777" w:rsidR="00D33F0A" w:rsidRPr="00125FDB" w:rsidRDefault="00D33F0A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Responsible for equipment: </w:t>
            </w:r>
          </w:p>
        </w:tc>
      </w:tr>
      <w:tr w:rsidR="00D33F0A" w:rsidRPr="00125FDB" w14:paraId="2374ACDD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5DE04" w14:textId="50AA74AA" w:rsidR="00B72E98" w:rsidRPr="00125FDB" w:rsidRDefault="00733996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Maudsley Charity laptop as well as any equipment purchased and issued 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> Display Screen Equipment assessment for working from home. </w:t>
            </w:r>
          </w:p>
          <w:p w14:paraId="6B6BD91A" w14:textId="74F71ED5" w:rsidR="008F596C" w:rsidRPr="00125FDB" w:rsidRDefault="008F596C" w:rsidP="001A7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F0A" w:rsidRPr="00125FDB" w14:paraId="17886B34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4E185BD9" w14:textId="01075120" w:rsidR="00D33F0A" w:rsidRPr="00125FDB" w:rsidRDefault="00D33F0A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Any other </w:t>
            </w:r>
            <w:r w:rsidR="007B4D5C"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Specific</w:t>
            </w: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Requirements of the Role:</w:t>
            </w:r>
          </w:p>
        </w:tc>
      </w:tr>
      <w:tr w:rsidR="00D33F0A" w:rsidRPr="00125FDB" w14:paraId="7F093F52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18D6E0" w14:textId="68D95871" w:rsidR="008F596C" w:rsidRPr="00125FDB" w:rsidRDefault="00733996" w:rsidP="001A7FA8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7FA88528" w14:textId="23E31E04" w:rsidR="00AD7516" w:rsidRPr="00125FDB" w:rsidRDefault="00AD7516" w:rsidP="001A7F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F0A" w:rsidRPr="00125FDB" w14:paraId="174D2294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6DE2225C" w14:textId="77777777" w:rsidR="00D33F0A" w:rsidRPr="00125FDB" w:rsidRDefault="00D33F0A" w:rsidP="001A7FA8">
            <w:pPr>
              <w:pStyle w:val="Heading1"/>
              <w:rPr>
                <w:rFonts w:ascii="Arial" w:hAnsi="Arial" w:cs="Arial"/>
                <w:color w:val="FFFFFF" w:themeColor="background1"/>
              </w:rPr>
            </w:pPr>
            <w:r w:rsidRPr="00125FDB">
              <w:rPr>
                <w:rFonts w:ascii="Arial" w:hAnsi="Arial" w:cs="Arial"/>
                <w:color w:val="FFFFFF" w:themeColor="background1"/>
              </w:rPr>
              <w:t>Generic responsibilities as part of the Maudsley Charity team</w:t>
            </w:r>
          </w:p>
        </w:tc>
      </w:tr>
      <w:tr w:rsidR="00D33F0A" w:rsidRPr="00125FDB" w14:paraId="5E2770F1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6FB204" w14:textId="58A43E7B" w:rsidR="005C6F01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To build, manage and maintain strong team relationships and </w:t>
            </w:r>
            <w:proofErr w:type="spellStart"/>
            <w:r w:rsidRPr="00125FDB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125FDB">
              <w:rPr>
                <w:rFonts w:ascii="Arial" w:hAnsi="Arial" w:cs="Arial"/>
                <w:sz w:val="22"/>
                <w:szCs w:val="22"/>
              </w:rPr>
              <w:t xml:space="preserve"> communication within t</w:t>
            </w:r>
            <w:r w:rsidR="008B43F7" w:rsidRPr="00125FDB">
              <w:rPr>
                <w:rFonts w:ascii="Arial" w:hAnsi="Arial" w:cs="Arial"/>
                <w:sz w:val="22"/>
                <w:szCs w:val="22"/>
              </w:rPr>
              <w:t>h</w:t>
            </w:r>
            <w:r w:rsidRPr="00125FDB">
              <w:rPr>
                <w:rFonts w:ascii="Arial" w:hAnsi="Arial" w:cs="Arial"/>
                <w:sz w:val="22"/>
                <w:szCs w:val="22"/>
              </w:rPr>
              <w:t>e team.</w:t>
            </w:r>
          </w:p>
          <w:p w14:paraId="6FED3AA2" w14:textId="1F2498F5" w:rsidR="005C6F01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To represent the Charity in a professional and positive manner. </w:t>
            </w:r>
          </w:p>
          <w:p w14:paraId="46E2B1C1" w14:textId="134E27E3" w:rsidR="005C6F01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provide outstanding customer service.</w:t>
            </w:r>
          </w:p>
          <w:p w14:paraId="1A244D5D" w14:textId="77777777" w:rsidR="00D33F0A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maintain a good working knowledge of Maudsley strategic goals &amp; objectives</w:t>
            </w:r>
          </w:p>
          <w:p w14:paraId="3E2F445E" w14:textId="0F2DA3A6" w:rsidR="005C6F01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share ideas and make suggestions to improve the organisation.</w:t>
            </w:r>
          </w:p>
          <w:p w14:paraId="2EB1439E" w14:textId="365EA2CB" w:rsidR="00D33F0A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follow all Maudsley policies and procedures, especially those regarding equal opportunities &amp; diversity, dignity &amp; respect and health &amp; safety.</w:t>
            </w:r>
          </w:p>
          <w:p w14:paraId="643847CD" w14:textId="64D7DE43" w:rsidR="00971A27" w:rsidRPr="00125FDB" w:rsidRDefault="00D33F0A" w:rsidP="00046395">
            <w:pPr>
              <w:pStyle w:val="ListParagraph"/>
              <w:numPr>
                <w:ilvl w:val="0"/>
                <w:numId w:val="1"/>
              </w:numPr>
              <w:suppressAutoHyphens/>
              <w:spacing w:line="276" w:lineRule="auto"/>
              <w:ind w:left="459" w:hanging="357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To undertake any other duties, in keeping in the role, which reasonably be required in furtherance of the objectives of the Charity.</w:t>
            </w:r>
          </w:p>
        </w:tc>
      </w:tr>
      <w:tr w:rsidR="00D33F0A" w:rsidRPr="00125FDB" w14:paraId="5D61400A" w14:textId="77777777" w:rsidTr="3A05C8FE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2A24B5DA" w14:textId="77777777" w:rsidR="00D33F0A" w:rsidRPr="00125FDB" w:rsidRDefault="00D33F0A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Values</w:t>
            </w:r>
          </w:p>
        </w:tc>
      </w:tr>
      <w:tr w:rsidR="00D33F0A" w:rsidRPr="00125FDB" w14:paraId="0B4BAD7A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A83BE0" w14:textId="77777777" w:rsidR="00E058B5" w:rsidRPr="00125FDB" w:rsidRDefault="00E058B5" w:rsidP="00E058B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are ambitious for change </w:t>
            </w:r>
            <w:r w:rsidRPr="00125FDB">
              <w:rPr>
                <w:rFonts w:ascii="Arial" w:hAnsi="Arial" w:cs="Arial"/>
                <w:sz w:val="22"/>
                <w:szCs w:val="22"/>
                <w:lang w:val="en-US"/>
              </w:rPr>
              <w:t>​</w:t>
            </w:r>
          </w:p>
          <w:p w14:paraId="6F9F17AF" w14:textId="77777777" w:rsidR="00D33F0A" w:rsidRPr="00125FDB" w:rsidRDefault="00D33F0A" w:rsidP="001A7FA8">
            <w:pPr>
              <w:spacing w:line="276" w:lineRule="auto"/>
              <w:ind w:righ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C3D72E" w14:textId="77777777" w:rsidR="00795C40" w:rsidRPr="00125FDB" w:rsidRDefault="00795C40" w:rsidP="00795C40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are brave and intentional, taking calculated risks to tackle the complex challenge of delivering better mental health care for everyone.​</w:t>
            </w:r>
          </w:p>
          <w:p w14:paraId="455C91A1" w14:textId="12AF4340" w:rsidR="00D33F0A" w:rsidRPr="00125FDB" w:rsidRDefault="00795C40" w:rsidP="006A0C19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support the creation of new evidence, invest in fresh ideas, and help expand proven solutions to make a lasting difference.​</w:t>
            </w:r>
          </w:p>
        </w:tc>
      </w:tr>
      <w:tr w:rsidR="00D33F0A" w:rsidRPr="00125FDB" w14:paraId="5D729267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FDDCDC" w14:textId="0460746A" w:rsidR="00D33F0A" w:rsidRPr="00125FDB" w:rsidRDefault="00F72390" w:rsidP="003C520A">
            <w:pPr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are compassionate</w:t>
            </w:r>
            <w:r w:rsidRPr="00125FDB">
              <w:rPr>
                <w:rFonts w:ascii="Arial" w:hAnsi="Arial" w:cs="Arial"/>
                <w:b/>
                <w:bCs/>
                <w:lang w:val="en-US"/>
              </w:rPr>
              <w:t> </w:t>
            </w:r>
            <w:r w:rsidRPr="00125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AD1634" w14:textId="77777777" w:rsidR="00630561" w:rsidRPr="00125FDB" w:rsidRDefault="00630561" w:rsidP="003C520A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engage everyone with care and respect, mindful of the contexts facing people who experience mental illness and people who deliver mental health care. ​</w:t>
            </w:r>
          </w:p>
          <w:p w14:paraId="120ED0F2" w14:textId="0351236B" w:rsidR="00D33F0A" w:rsidRPr="00125FDB" w:rsidRDefault="00630561" w:rsidP="006A0C19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lighten our grant holders’ workload by creating a balanced and efficient grantmaking process from application to evaluation.​</w:t>
            </w:r>
          </w:p>
        </w:tc>
      </w:tr>
      <w:tr w:rsidR="00D33F0A" w:rsidRPr="00125FDB" w14:paraId="788127D4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6765FE" w14:textId="36E67437" w:rsidR="00D33F0A" w:rsidRPr="00125FDB" w:rsidRDefault="008B649D" w:rsidP="003C520A">
            <w:p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are inclusive </w:t>
            </w:r>
          </w:p>
          <w:p w14:paraId="0CC07C52" w14:textId="77777777" w:rsidR="00D33F0A" w:rsidRPr="00125FDB" w:rsidRDefault="00D33F0A" w:rsidP="003C520A">
            <w:p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</w:p>
          <w:p w14:paraId="4F6E0E5C" w14:textId="77777777" w:rsidR="00D33F0A" w:rsidRPr="00125FDB" w:rsidRDefault="00D33F0A" w:rsidP="003C520A">
            <w:p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BFDB87" w14:textId="77777777" w:rsidR="00826AB7" w:rsidRPr="00125FDB" w:rsidRDefault="00826AB7" w:rsidP="007F7B72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value knowledge, expertise and personal experience, championing diverse perspectives and empowering everyone to contribute to our decision-making.​</w:t>
            </w:r>
          </w:p>
          <w:p w14:paraId="4C29BE95" w14:textId="5048C706" w:rsidR="00D33F0A" w:rsidRPr="00125FDB" w:rsidRDefault="00826AB7" w:rsidP="006A0C19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prioritise projects that actively involve people with lived experience in shaping care and treatment.​</w:t>
            </w:r>
          </w:p>
        </w:tc>
      </w:tr>
      <w:tr w:rsidR="00D33F0A" w:rsidRPr="00125FDB" w14:paraId="06F03A65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1D704F" w14:textId="04B309A8" w:rsidR="00D33F0A" w:rsidRPr="00125FDB" w:rsidRDefault="00AF7E40" w:rsidP="003C520A">
            <w:p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act with integrity </w:t>
            </w:r>
            <w:r w:rsidRPr="00125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05B95" w14:textId="77777777" w:rsidR="00F00691" w:rsidRPr="00125FDB" w:rsidRDefault="00F00691" w:rsidP="007F7B72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carefully consider our social and environmental impacts and uphold high ethical standards, especially in our fundraising, procurement, and investment practices. ​</w:t>
            </w:r>
          </w:p>
          <w:p w14:paraId="006A3E9A" w14:textId="1BC0C04B" w:rsidR="00D33F0A" w:rsidRPr="00125FDB" w:rsidRDefault="00F00691" w:rsidP="006A0C19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are fair and transparent in our grant-making and hold ourselves and our grant holders accountable for effective delivery.​</w:t>
            </w:r>
          </w:p>
        </w:tc>
      </w:tr>
      <w:tr w:rsidR="00D33F0A" w:rsidRPr="00125FDB" w14:paraId="08CE364D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610DF2" w14:textId="064AAAA7" w:rsidR="00D33F0A" w:rsidRPr="00125FDB" w:rsidRDefault="00160DDF" w:rsidP="003C520A">
            <w:p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value relationships </w:t>
            </w:r>
            <w:r w:rsidRPr="00125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491507" w14:textId="77777777" w:rsidR="00FE45CA" w:rsidRPr="00125FDB" w:rsidRDefault="00FE45CA" w:rsidP="007F7B72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nurture relationships based on mutual respect, and acknowledge the roles played by all stakeholders in achieving our shared mission. ​</w:t>
            </w:r>
          </w:p>
          <w:p w14:paraId="5160C764" w14:textId="091415AE" w:rsidR="00D33F0A" w:rsidRPr="00125FDB" w:rsidRDefault="00FE45CA" w:rsidP="006A0C19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provide the support, trust and open dialogue our colleagues and grant holders need to succeed.​</w:t>
            </w:r>
          </w:p>
        </w:tc>
      </w:tr>
      <w:tr w:rsidR="00FE45CA" w:rsidRPr="00125FDB" w14:paraId="769F3726" w14:textId="77777777" w:rsidTr="3A05C8FE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DE1A6A" w14:textId="01EE5B0B" w:rsidR="00FE45CA" w:rsidRPr="00125FDB" w:rsidRDefault="002D6920" w:rsidP="003C520A">
            <w:pPr>
              <w:spacing w:line="276" w:lineRule="auto"/>
              <w:ind w:right="18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We learn and share knowledge 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C65B70" w14:textId="77777777" w:rsidR="003C520A" w:rsidRPr="00125FDB" w:rsidRDefault="003C520A" w:rsidP="007F7B72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actively seek feedback, and use it to evaluate and improve our working practices ​</w:t>
            </w:r>
          </w:p>
          <w:p w14:paraId="53A83251" w14:textId="3C5302A6" w:rsidR="00FE45CA" w:rsidRPr="00125FDB" w:rsidRDefault="003C520A" w:rsidP="007F7B72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We provide a platform to share what works in our local communities and model change in other parts of the country.​</w:t>
            </w:r>
          </w:p>
        </w:tc>
      </w:tr>
    </w:tbl>
    <w:p w14:paraId="18092C89" w14:textId="1A7E9180" w:rsidR="07EDF7E5" w:rsidRPr="00125FDB" w:rsidRDefault="07EDF7E5" w:rsidP="07EDF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902C4F" w14:textId="0AC18A34" w:rsidR="07EDF7E5" w:rsidRPr="00125FDB" w:rsidRDefault="07EDF7E5" w:rsidP="07EDF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6819"/>
      </w:tblGrid>
      <w:tr w:rsidR="001F3019" w:rsidRPr="00125FDB" w14:paraId="56391C54" w14:textId="77777777" w:rsidTr="00030A7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85156"/>
            <w:tcMar>
              <w:left w:w="108" w:type="dxa"/>
              <w:right w:w="108" w:type="dxa"/>
            </w:tcMar>
          </w:tcPr>
          <w:p w14:paraId="05C0F30E" w14:textId="02BB7C6E" w:rsidR="001F3019" w:rsidRPr="00125FDB" w:rsidRDefault="001F3019" w:rsidP="001A7FA8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Person Specification: </w:t>
            </w:r>
          </w:p>
        </w:tc>
      </w:tr>
      <w:tr w:rsidR="001F3019" w:rsidRPr="00125FDB" w14:paraId="53CA02E7" w14:textId="77777777" w:rsidTr="1278EA4B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72EBBB" w14:textId="399C9E94" w:rsidR="001F3019" w:rsidRPr="00125FDB" w:rsidRDefault="001F3019" w:rsidP="001A7FA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Skills:</w:t>
            </w:r>
          </w:p>
        </w:tc>
      </w:tr>
      <w:tr w:rsidR="0022327C" w:rsidRPr="00125FDB" w14:paraId="74C2014C" w14:textId="77777777" w:rsidTr="1278EA4B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2B8A122E" w14:textId="77777777" w:rsidR="00915830" w:rsidRPr="00125FDB" w:rsidRDefault="00915830" w:rsidP="00915830">
            <w:pPr>
              <w:spacing w:before="240" w:line="276" w:lineRule="auto"/>
              <w:ind w:right="1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6AE84686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Strong prioritising and planning skills; able to manage and schedule tasks accordingly</w:t>
            </w:r>
          </w:p>
          <w:p w14:paraId="6BE67E62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Strong teamwork skills; 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is able to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 xml:space="preserve"> work flexibly across programmes</w:t>
            </w:r>
          </w:p>
          <w:p w14:paraId="048B719D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Strong basic IT skills, competence in Outlook, Word, Excel and PowerPoint. </w:t>
            </w:r>
          </w:p>
          <w:p w14:paraId="749238D2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Strong written and verbal communication skills</w:t>
            </w:r>
          </w:p>
          <w:p w14:paraId="289AD79C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Attention to detail, able to track information consistently across areas of work</w:t>
            </w:r>
          </w:p>
          <w:p w14:paraId="574E574F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Experience of collaborating with colleagues to adapt and improve ways of working</w:t>
            </w:r>
          </w:p>
          <w:p w14:paraId="181D6A12" w14:textId="35AD91F4" w:rsidR="00F361E1" w:rsidRPr="00125FDB" w:rsidRDefault="00F361E1" w:rsidP="00125FDB">
            <w:pPr>
              <w:spacing w:line="276" w:lineRule="auto"/>
              <w:ind w:righ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73785128" w14:textId="77777777" w:rsidR="00915830" w:rsidRPr="00125FDB" w:rsidRDefault="00915830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Financially literate, </w:t>
            </w:r>
            <w:proofErr w:type="gramStart"/>
            <w:r w:rsidRPr="00125FDB">
              <w:rPr>
                <w:rFonts w:ascii="Arial" w:hAnsi="Arial" w:cs="Arial"/>
                <w:sz w:val="22"/>
                <w:szCs w:val="22"/>
              </w:rPr>
              <w:t>is able to</w:t>
            </w:r>
            <w:proofErr w:type="gramEnd"/>
            <w:r w:rsidRPr="00125FDB">
              <w:rPr>
                <w:rFonts w:ascii="Arial" w:hAnsi="Arial" w:cs="Arial"/>
                <w:sz w:val="22"/>
                <w:szCs w:val="22"/>
              </w:rPr>
              <w:t xml:space="preserve"> understand grant project budgets </w:t>
            </w:r>
          </w:p>
          <w:p w14:paraId="747983CB" w14:textId="5E6032CF" w:rsidR="00CA043F" w:rsidRPr="00125FDB" w:rsidRDefault="00CA043F" w:rsidP="00915830">
            <w:pPr>
              <w:spacing w:line="276" w:lineRule="auto"/>
              <w:ind w:left="360"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3019" w:rsidRPr="00125FDB" w14:paraId="67BC56D3" w14:textId="77777777" w:rsidTr="1278EA4B">
        <w:tc>
          <w:tcPr>
            <w:tcW w:w="9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B8851F0" w14:textId="6DF4CA02" w:rsidR="001F3019" w:rsidRPr="00125FDB" w:rsidRDefault="001F3019" w:rsidP="001A7FA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Experience:</w:t>
            </w:r>
          </w:p>
        </w:tc>
      </w:tr>
      <w:tr w:rsidR="0022327C" w:rsidRPr="00125FDB" w14:paraId="754741B3" w14:textId="77777777" w:rsidTr="1278EA4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FDE282" w14:textId="77777777" w:rsidR="00633A51" w:rsidRPr="00125FDB" w:rsidRDefault="00633A51" w:rsidP="00633A51">
            <w:pPr>
              <w:spacing w:before="24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0FE79A14" w14:textId="5C0D2CEE" w:rsidR="00633A51" w:rsidRPr="00125FDB" w:rsidRDefault="00633A51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10D82CDE" w:rsidRPr="00125FDB">
              <w:rPr>
                <w:rFonts w:ascii="Arial" w:hAnsi="Arial" w:cs="Arial"/>
                <w:sz w:val="22"/>
                <w:szCs w:val="22"/>
              </w:rPr>
              <w:t>grants</w:t>
            </w:r>
            <w:r w:rsidRPr="00125FDB">
              <w:rPr>
                <w:rFonts w:ascii="Arial" w:hAnsi="Arial" w:cs="Arial"/>
                <w:sz w:val="22"/>
                <w:szCs w:val="22"/>
              </w:rPr>
              <w:t xml:space="preserve"> gained either by working or </w:t>
            </w:r>
            <w:r w:rsidR="10D82CDE" w:rsidRPr="00125FDB">
              <w:rPr>
                <w:rFonts w:ascii="Arial" w:hAnsi="Arial" w:cs="Arial"/>
                <w:sz w:val="22"/>
                <w:szCs w:val="22"/>
              </w:rPr>
              <w:t xml:space="preserve">volunteering </w:t>
            </w:r>
            <w:r w:rsidRPr="00125FDB">
              <w:rPr>
                <w:rFonts w:ascii="Arial" w:hAnsi="Arial" w:cs="Arial"/>
                <w:sz w:val="22"/>
                <w:szCs w:val="22"/>
              </w:rPr>
              <w:t>as a recipient of funding</w:t>
            </w:r>
            <w:r w:rsidR="10D82CDE" w:rsidRPr="00125FDB">
              <w:rPr>
                <w:rFonts w:ascii="Arial" w:hAnsi="Arial" w:cs="Arial"/>
                <w:sz w:val="22"/>
                <w:szCs w:val="22"/>
              </w:rPr>
              <w:t xml:space="preserve"> or at a funder</w:t>
            </w:r>
          </w:p>
          <w:p w14:paraId="430EA6B1" w14:textId="77777777" w:rsidR="00633A51" w:rsidRPr="00125FDB" w:rsidRDefault="00633A51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Experience of working on projects that aim to achieve social impact</w:t>
            </w:r>
          </w:p>
          <w:p w14:paraId="241D9B56" w14:textId="77777777" w:rsidR="00633A51" w:rsidRPr="00125FDB" w:rsidRDefault="00633A51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Exposure to decision making processes; ideally for grant-making and funding allocation.</w:t>
            </w:r>
          </w:p>
          <w:p w14:paraId="1EDCED37" w14:textId="77777777" w:rsidR="00633A51" w:rsidRPr="00125FDB" w:rsidRDefault="00633A51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Sharing knowledge and learning e.g. logging learning, running learning events</w:t>
            </w:r>
          </w:p>
          <w:p w14:paraId="1C850896" w14:textId="77777777" w:rsidR="00633A51" w:rsidRPr="00125FDB" w:rsidRDefault="00633A51" w:rsidP="00125FDB">
            <w:pPr>
              <w:numPr>
                <w:ilvl w:val="0"/>
                <w:numId w:val="3"/>
              </w:numPr>
              <w:spacing w:line="276" w:lineRule="auto"/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sz w:val="22"/>
                <w:szCs w:val="22"/>
              </w:rPr>
              <w:t>Experience of project management processes</w:t>
            </w:r>
          </w:p>
          <w:p w14:paraId="77C90164" w14:textId="2559B83E" w:rsidR="0022327C" w:rsidRPr="00125FDB" w:rsidRDefault="0022327C" w:rsidP="00633A51">
            <w:pPr>
              <w:spacing w:line="276" w:lineRule="auto"/>
              <w:ind w:left="360" w:righ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7CB" w:rsidRPr="00125FDB" w14:paraId="1431694C" w14:textId="77777777" w:rsidTr="1278EA4B">
        <w:trPr>
          <w:trHeight w:val="27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1FD4BF" w14:textId="3F029878" w:rsidR="001107CB" w:rsidRPr="00125FDB" w:rsidRDefault="001107CB" w:rsidP="001A7F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Knowledge:</w:t>
            </w:r>
          </w:p>
        </w:tc>
      </w:tr>
      <w:tr w:rsidR="001107CB" w:rsidRPr="00125FDB" w14:paraId="00402C08" w14:textId="77777777" w:rsidTr="1278EA4B">
        <w:trPr>
          <w:trHeight w:val="26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38DEE6" w14:textId="77777777" w:rsidR="001739DE" w:rsidRPr="00125FDB" w:rsidRDefault="001739DE" w:rsidP="001739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ECB1F" w14:textId="53DC15B0" w:rsidR="001739DE" w:rsidRPr="00125FDB" w:rsidRDefault="001739DE" w:rsidP="001739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5FDB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6E57B771" w14:textId="0AA43DAD" w:rsidR="001739DE" w:rsidRPr="00125FDB" w:rsidRDefault="001739DE" w:rsidP="001739D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5FDB">
              <w:rPr>
                <w:rFonts w:ascii="Arial" w:hAnsi="Arial" w:cs="Arial"/>
                <w:sz w:val="22"/>
                <w:szCs w:val="22"/>
                <w:lang w:val="en-GB"/>
              </w:rPr>
              <w:t>An understanding of best practice in grant making.</w:t>
            </w:r>
          </w:p>
          <w:p w14:paraId="36255B1E" w14:textId="77777777" w:rsidR="001739DE" w:rsidRPr="00125FDB" w:rsidRDefault="001739DE" w:rsidP="001739D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5FDB">
              <w:rPr>
                <w:rFonts w:ascii="Arial" w:hAnsi="Arial" w:cs="Arial"/>
                <w:sz w:val="22"/>
                <w:szCs w:val="22"/>
                <w:lang w:val="en-GB"/>
              </w:rPr>
              <w:t>An understanding of charity sector governance and decision making.</w:t>
            </w:r>
          </w:p>
          <w:p w14:paraId="52256B7C" w14:textId="77777777" w:rsidR="001739DE" w:rsidRPr="00125FDB" w:rsidRDefault="001739DE" w:rsidP="001739D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GB"/>
              </w:rPr>
            </w:pPr>
            <w:r w:rsidRPr="00125FDB">
              <w:rPr>
                <w:rFonts w:ascii="Arial" w:hAnsi="Arial" w:cs="Arial"/>
                <w:sz w:val="22"/>
                <w:szCs w:val="22"/>
                <w:lang w:val="en-GB"/>
              </w:rPr>
              <w:t>Awareness of how to gather evidence and share learning.</w:t>
            </w:r>
          </w:p>
          <w:p w14:paraId="009948DF" w14:textId="77777777" w:rsidR="001739DE" w:rsidRPr="00125FDB" w:rsidRDefault="001739DE" w:rsidP="001739D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5FDB">
              <w:rPr>
                <w:rFonts w:ascii="Arial" w:hAnsi="Arial" w:cs="Arial"/>
                <w:sz w:val="22"/>
                <w:szCs w:val="22"/>
                <w:lang w:val="en-GB"/>
              </w:rPr>
              <w:t>Understanding of the challenges facing the NHS.</w:t>
            </w:r>
          </w:p>
          <w:p w14:paraId="7F768102" w14:textId="17F35D87" w:rsidR="001107CB" w:rsidRPr="00125FDB" w:rsidRDefault="001107CB" w:rsidP="001739DE">
            <w:pPr>
              <w:pStyle w:val="ListParagraph"/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A13" w:rsidRPr="00125FDB" w14:paraId="0C172076" w14:textId="77777777" w:rsidTr="1278EA4B">
        <w:tc>
          <w:tcPr>
            <w:tcW w:w="2820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509C238" w14:textId="77777777" w:rsidR="00566A13" w:rsidRPr="00125FDB" w:rsidRDefault="00566A13" w:rsidP="001A7FA8">
            <w:pPr>
              <w:spacing w:line="276" w:lineRule="auto"/>
              <w:ind w:righ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26C9EDC" w14:textId="77777777" w:rsidR="00566A13" w:rsidRPr="00125FDB" w:rsidRDefault="00566A13" w:rsidP="001A7FA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8903B84" w14:textId="77777777" w:rsidR="0032655D" w:rsidRPr="0032655D" w:rsidRDefault="0032655D" w:rsidP="0032655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655D">
        <w:rPr>
          <w:rFonts w:ascii="Arial" w:hAnsi="Arial" w:cs="Arial"/>
          <w:b/>
          <w:bCs/>
          <w:sz w:val="22"/>
          <w:szCs w:val="22"/>
        </w:rPr>
        <w:t>Maudsley Charity is committed to building a diverse and inclusive team and strongly encourages applications from underrepresented backgrounds.</w:t>
      </w:r>
    </w:p>
    <w:p w14:paraId="5D99078D" w14:textId="1783E775" w:rsidR="003A0FD4" w:rsidRPr="00125FDB" w:rsidRDefault="0032655D" w:rsidP="00221C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55D">
        <w:rPr>
          <w:rFonts w:ascii="Arial" w:hAnsi="Arial" w:cs="Arial"/>
          <w:b/>
          <w:bCs/>
          <w:sz w:val="22"/>
          <w:szCs w:val="22"/>
        </w:rPr>
        <w:t xml:space="preserve">To do this we need your help in filling out a </w:t>
      </w:r>
      <w:hyperlink r:id="rId12" w:history="1">
        <w:r w:rsidRPr="0032655D">
          <w:rPr>
            <w:rStyle w:val="Hyperlink"/>
            <w:rFonts w:ascii="Arial" w:hAnsi="Arial" w:cs="Arial"/>
            <w:b/>
            <w:bCs/>
            <w:sz w:val="22"/>
            <w:szCs w:val="22"/>
          </w:rPr>
          <w:t>short monitoring form</w:t>
        </w:r>
      </w:hyperlink>
      <w:r w:rsidRPr="0032655D">
        <w:rPr>
          <w:rFonts w:ascii="Arial" w:hAnsi="Arial" w:cs="Arial"/>
          <w:b/>
          <w:bCs/>
          <w:sz w:val="22"/>
          <w:szCs w:val="22"/>
        </w:rPr>
        <w:t xml:space="preserve">. </w:t>
      </w:r>
    </w:p>
    <w:sectPr w:rsidR="003A0FD4" w:rsidRPr="00125FDB" w:rsidSect="00030A77">
      <w:headerReference w:type="default" r:id="rId13"/>
      <w:footerReference w:type="default" r:id="rId14"/>
      <w:pgSz w:w="11906" w:h="16838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67AC" w14:textId="77777777" w:rsidR="00E37A2A" w:rsidRDefault="00E37A2A" w:rsidP="005D2489">
      <w:r>
        <w:separator/>
      </w:r>
    </w:p>
  </w:endnote>
  <w:endnote w:type="continuationSeparator" w:id="0">
    <w:p w14:paraId="665442C7" w14:textId="77777777" w:rsidR="00E37A2A" w:rsidRDefault="00E37A2A" w:rsidP="005D2489">
      <w:r>
        <w:continuationSeparator/>
      </w:r>
    </w:p>
  </w:endnote>
  <w:endnote w:type="continuationNotice" w:id="1">
    <w:p w14:paraId="1E6E84D0" w14:textId="77777777" w:rsidR="00E37A2A" w:rsidRDefault="00E37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944274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CB2F5" w14:textId="63F3D44D" w:rsidR="005D2489" w:rsidRPr="005D2489" w:rsidRDefault="005D2489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D2489">
          <w:rPr>
            <w:rFonts w:asciiTheme="minorHAnsi" w:hAnsiTheme="minorHAnsi" w:cstheme="minorHAnsi"/>
            <w:color w:val="2B579A"/>
            <w:sz w:val="18"/>
            <w:szCs w:val="18"/>
            <w:shd w:val="clear" w:color="auto" w:fill="E6E6E6"/>
          </w:rPr>
          <w:fldChar w:fldCharType="begin"/>
        </w:r>
        <w:r w:rsidRPr="005D2489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5D2489">
          <w:rPr>
            <w:rFonts w:asciiTheme="minorHAnsi" w:hAnsiTheme="minorHAnsi" w:cstheme="minorHAnsi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5D2489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5D2489">
          <w:rPr>
            <w:rFonts w:asciiTheme="minorHAnsi" w:hAnsiTheme="minorHAnsi" w:cstheme="minorHAnsi"/>
            <w:noProof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0D772144" w14:textId="11C81832" w:rsidR="005D2489" w:rsidRPr="005D2489" w:rsidRDefault="005D2489">
    <w:pPr>
      <w:pStyle w:val="Footer"/>
      <w:rPr>
        <w:rFonts w:asciiTheme="minorHAnsi" w:hAnsiTheme="minorHAnsi" w:cstheme="minorHAnsi"/>
        <w:sz w:val="18"/>
        <w:szCs w:val="18"/>
      </w:rPr>
    </w:pPr>
    <w:r w:rsidRPr="005D2489">
      <w:rPr>
        <w:rFonts w:asciiTheme="minorHAnsi" w:hAnsiTheme="minorHAnsi" w:cstheme="minorHAnsi"/>
        <w:sz w:val="18"/>
        <w:szCs w:val="18"/>
      </w:rPr>
      <w:t xml:space="preserve">Job Description – </w:t>
    </w:r>
    <w:r w:rsidR="00CA043F">
      <w:rPr>
        <w:rFonts w:asciiTheme="minorHAnsi" w:hAnsiTheme="minorHAnsi" w:cstheme="minorHAnsi"/>
        <w:sz w:val="18"/>
        <w:szCs w:val="18"/>
      </w:rPr>
      <w:t>TEMPLATE</w:t>
    </w:r>
    <w:r w:rsidR="00A91A2D">
      <w:rPr>
        <w:rFonts w:asciiTheme="minorHAnsi" w:hAnsiTheme="minorHAnsi" w:cstheme="minorHAnsi"/>
        <w:sz w:val="18"/>
        <w:szCs w:val="18"/>
      </w:rPr>
      <w:t xml:space="preserve"> [V1: Feb 2024]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2E47" w14:textId="77777777" w:rsidR="00E37A2A" w:rsidRDefault="00E37A2A" w:rsidP="005D2489">
      <w:r>
        <w:separator/>
      </w:r>
    </w:p>
  </w:footnote>
  <w:footnote w:type="continuationSeparator" w:id="0">
    <w:p w14:paraId="1816F5A0" w14:textId="77777777" w:rsidR="00E37A2A" w:rsidRDefault="00E37A2A" w:rsidP="005D2489">
      <w:r>
        <w:continuationSeparator/>
      </w:r>
    </w:p>
  </w:footnote>
  <w:footnote w:type="continuationNotice" w:id="1">
    <w:p w14:paraId="121A4F77" w14:textId="77777777" w:rsidR="00E37A2A" w:rsidRDefault="00E37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F573" w14:textId="40112D4A" w:rsidR="005B5D6D" w:rsidRDefault="005B5D6D">
    <w:pPr>
      <w:pStyle w:val="Header"/>
    </w:pPr>
  </w:p>
  <w:p w14:paraId="7A5121CC" w14:textId="77777777" w:rsidR="005B5D6D" w:rsidRDefault="005B5D6D">
    <w:pPr>
      <w:pStyle w:val="Header"/>
    </w:pPr>
  </w:p>
  <w:p w14:paraId="7CC3232C" w14:textId="77777777" w:rsidR="005B5D6D" w:rsidRDefault="005B5D6D">
    <w:pPr>
      <w:pStyle w:val="Header"/>
    </w:pPr>
  </w:p>
  <w:p w14:paraId="7C261DBC" w14:textId="77777777" w:rsidR="005B5D6D" w:rsidRDefault="005B5D6D">
    <w:pPr>
      <w:pStyle w:val="Header"/>
    </w:pPr>
  </w:p>
  <w:p w14:paraId="0B70AF73" w14:textId="293095E2" w:rsidR="005B5D6D" w:rsidRDefault="005B5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67D0"/>
    <w:multiLevelType w:val="hybridMultilevel"/>
    <w:tmpl w:val="462698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3302"/>
    <w:multiLevelType w:val="multilevel"/>
    <w:tmpl w:val="02F4B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E4CB9"/>
    <w:multiLevelType w:val="hybridMultilevel"/>
    <w:tmpl w:val="4C328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2E57"/>
    <w:multiLevelType w:val="hybridMultilevel"/>
    <w:tmpl w:val="519A1C0E"/>
    <w:lvl w:ilvl="0" w:tplc="7C52CF6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839F4"/>
    <w:multiLevelType w:val="hybridMultilevel"/>
    <w:tmpl w:val="F87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3598"/>
    <w:multiLevelType w:val="hybridMultilevel"/>
    <w:tmpl w:val="A752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36F51"/>
    <w:multiLevelType w:val="multilevel"/>
    <w:tmpl w:val="91DE7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C386A"/>
    <w:multiLevelType w:val="hybridMultilevel"/>
    <w:tmpl w:val="13144B2E"/>
    <w:lvl w:ilvl="0" w:tplc="7C52CF6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746F5"/>
    <w:multiLevelType w:val="hybridMultilevel"/>
    <w:tmpl w:val="D89C6F88"/>
    <w:lvl w:ilvl="0" w:tplc="7C52CF6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E6B00"/>
    <w:multiLevelType w:val="hybridMultilevel"/>
    <w:tmpl w:val="626AD8BA"/>
    <w:lvl w:ilvl="0" w:tplc="7C52CF6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60EB3"/>
    <w:multiLevelType w:val="hybridMultilevel"/>
    <w:tmpl w:val="BC98959E"/>
    <w:lvl w:ilvl="0" w:tplc="70BA1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74ACD"/>
    <w:multiLevelType w:val="hybridMultilevel"/>
    <w:tmpl w:val="BCDCCFD0"/>
    <w:lvl w:ilvl="0" w:tplc="DD161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3F64A4"/>
    <w:multiLevelType w:val="multilevel"/>
    <w:tmpl w:val="49E0A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E39C8"/>
    <w:multiLevelType w:val="hybridMultilevel"/>
    <w:tmpl w:val="215C3102"/>
    <w:lvl w:ilvl="0" w:tplc="5FBC1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235B0"/>
    <w:multiLevelType w:val="multilevel"/>
    <w:tmpl w:val="C7A8E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93EAC"/>
    <w:multiLevelType w:val="multilevel"/>
    <w:tmpl w:val="1D021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16A6F"/>
    <w:multiLevelType w:val="hybridMultilevel"/>
    <w:tmpl w:val="ADC4E1D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039F4"/>
    <w:multiLevelType w:val="hybridMultilevel"/>
    <w:tmpl w:val="6EE6E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F2231"/>
    <w:multiLevelType w:val="multilevel"/>
    <w:tmpl w:val="F76CA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6419088">
    <w:abstractNumId w:val="13"/>
  </w:num>
  <w:num w:numId="2" w16cid:durableId="1880779081">
    <w:abstractNumId w:val="2"/>
  </w:num>
  <w:num w:numId="3" w16cid:durableId="19500445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1270688">
    <w:abstractNumId w:val="0"/>
  </w:num>
  <w:num w:numId="5" w16cid:durableId="2034381275">
    <w:abstractNumId w:val="17"/>
  </w:num>
  <w:num w:numId="6" w16cid:durableId="1285114495">
    <w:abstractNumId w:val="4"/>
  </w:num>
  <w:num w:numId="7" w16cid:durableId="122773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545155">
    <w:abstractNumId w:val="12"/>
  </w:num>
  <w:num w:numId="9" w16cid:durableId="1445659914">
    <w:abstractNumId w:val="18"/>
  </w:num>
  <w:num w:numId="10" w16cid:durableId="109666175">
    <w:abstractNumId w:val="14"/>
  </w:num>
  <w:num w:numId="11" w16cid:durableId="2134206941">
    <w:abstractNumId w:val="6"/>
  </w:num>
  <w:num w:numId="12" w16cid:durableId="2104494924">
    <w:abstractNumId w:val="1"/>
  </w:num>
  <w:num w:numId="13" w16cid:durableId="1229920101">
    <w:abstractNumId w:val="15"/>
  </w:num>
  <w:num w:numId="14" w16cid:durableId="399212182">
    <w:abstractNumId w:val="10"/>
  </w:num>
  <w:num w:numId="15" w16cid:durableId="132136698">
    <w:abstractNumId w:val="5"/>
  </w:num>
  <w:num w:numId="16" w16cid:durableId="1396005495">
    <w:abstractNumId w:val="3"/>
  </w:num>
  <w:num w:numId="17" w16cid:durableId="1592397839">
    <w:abstractNumId w:val="8"/>
  </w:num>
  <w:num w:numId="18" w16cid:durableId="453135003">
    <w:abstractNumId w:val="7"/>
  </w:num>
  <w:num w:numId="19" w16cid:durableId="1563104228">
    <w:abstractNumId w:val="9"/>
  </w:num>
  <w:num w:numId="20" w16cid:durableId="207738720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D4"/>
    <w:rsid w:val="000073EF"/>
    <w:rsid w:val="00030A77"/>
    <w:rsid w:val="0003634E"/>
    <w:rsid w:val="0003736E"/>
    <w:rsid w:val="00046395"/>
    <w:rsid w:val="000556EF"/>
    <w:rsid w:val="00066F52"/>
    <w:rsid w:val="00090EDD"/>
    <w:rsid w:val="000A5E28"/>
    <w:rsid w:val="000B14E5"/>
    <w:rsid w:val="000B4FC1"/>
    <w:rsid w:val="000B6908"/>
    <w:rsid w:val="000C7069"/>
    <w:rsid w:val="000E3235"/>
    <w:rsid w:val="000E5152"/>
    <w:rsid w:val="000E7606"/>
    <w:rsid w:val="000E7A8E"/>
    <w:rsid w:val="001024FA"/>
    <w:rsid w:val="00104178"/>
    <w:rsid w:val="001107CB"/>
    <w:rsid w:val="00125FDB"/>
    <w:rsid w:val="00132854"/>
    <w:rsid w:val="00133328"/>
    <w:rsid w:val="001338C2"/>
    <w:rsid w:val="00160DDF"/>
    <w:rsid w:val="001739DE"/>
    <w:rsid w:val="00181FA1"/>
    <w:rsid w:val="00187B49"/>
    <w:rsid w:val="001A4346"/>
    <w:rsid w:val="001A7FA8"/>
    <w:rsid w:val="001D4914"/>
    <w:rsid w:val="001E022A"/>
    <w:rsid w:val="001F3019"/>
    <w:rsid w:val="001F454B"/>
    <w:rsid w:val="001F6B8E"/>
    <w:rsid w:val="002012CF"/>
    <w:rsid w:val="00203461"/>
    <w:rsid w:val="00206A75"/>
    <w:rsid w:val="00221C1B"/>
    <w:rsid w:val="00222C45"/>
    <w:rsid w:val="0022327C"/>
    <w:rsid w:val="00223D4E"/>
    <w:rsid w:val="00237556"/>
    <w:rsid w:val="00255946"/>
    <w:rsid w:val="00256600"/>
    <w:rsid w:val="00267C6C"/>
    <w:rsid w:val="002925BB"/>
    <w:rsid w:val="002938DC"/>
    <w:rsid w:val="002957BE"/>
    <w:rsid w:val="002A0B95"/>
    <w:rsid w:val="002A754F"/>
    <w:rsid w:val="002B3FB5"/>
    <w:rsid w:val="002B57C0"/>
    <w:rsid w:val="002C723A"/>
    <w:rsid w:val="002D1A0E"/>
    <w:rsid w:val="002D6920"/>
    <w:rsid w:val="002D7AF2"/>
    <w:rsid w:val="002E41AA"/>
    <w:rsid w:val="002F0F12"/>
    <w:rsid w:val="00301DC6"/>
    <w:rsid w:val="00303B8E"/>
    <w:rsid w:val="00315973"/>
    <w:rsid w:val="00323180"/>
    <w:rsid w:val="0032655D"/>
    <w:rsid w:val="00334D1C"/>
    <w:rsid w:val="003401BA"/>
    <w:rsid w:val="003402A7"/>
    <w:rsid w:val="0035054F"/>
    <w:rsid w:val="00351D12"/>
    <w:rsid w:val="003628CB"/>
    <w:rsid w:val="00370372"/>
    <w:rsid w:val="003710F5"/>
    <w:rsid w:val="003720F6"/>
    <w:rsid w:val="00374A17"/>
    <w:rsid w:val="003854EF"/>
    <w:rsid w:val="003A0FD4"/>
    <w:rsid w:val="003A13BD"/>
    <w:rsid w:val="003A1F14"/>
    <w:rsid w:val="003A360F"/>
    <w:rsid w:val="003A5CB7"/>
    <w:rsid w:val="003B2444"/>
    <w:rsid w:val="003B321B"/>
    <w:rsid w:val="003C520A"/>
    <w:rsid w:val="003D5AD8"/>
    <w:rsid w:val="003E2404"/>
    <w:rsid w:val="003E76B1"/>
    <w:rsid w:val="003E79B0"/>
    <w:rsid w:val="00401B15"/>
    <w:rsid w:val="004038EE"/>
    <w:rsid w:val="00404EEF"/>
    <w:rsid w:val="004116AC"/>
    <w:rsid w:val="00421BFF"/>
    <w:rsid w:val="004271CD"/>
    <w:rsid w:val="0043105C"/>
    <w:rsid w:val="00433787"/>
    <w:rsid w:val="004377E0"/>
    <w:rsid w:val="00437B91"/>
    <w:rsid w:val="004429F4"/>
    <w:rsid w:val="00444ACE"/>
    <w:rsid w:val="00447B24"/>
    <w:rsid w:val="004653F3"/>
    <w:rsid w:val="00480B54"/>
    <w:rsid w:val="004A0D51"/>
    <w:rsid w:val="004B1033"/>
    <w:rsid w:val="004B4A41"/>
    <w:rsid w:val="004C39CF"/>
    <w:rsid w:val="004C4FBF"/>
    <w:rsid w:val="004C64E8"/>
    <w:rsid w:val="004D5FCC"/>
    <w:rsid w:val="004D645D"/>
    <w:rsid w:val="004E26D7"/>
    <w:rsid w:val="004E754F"/>
    <w:rsid w:val="00506262"/>
    <w:rsid w:val="00510005"/>
    <w:rsid w:val="00510F4E"/>
    <w:rsid w:val="00512655"/>
    <w:rsid w:val="005144D9"/>
    <w:rsid w:val="00525ADF"/>
    <w:rsid w:val="005365DB"/>
    <w:rsid w:val="0054065E"/>
    <w:rsid w:val="00544A7D"/>
    <w:rsid w:val="00554DDA"/>
    <w:rsid w:val="00566739"/>
    <w:rsid w:val="005667B1"/>
    <w:rsid w:val="00566A13"/>
    <w:rsid w:val="005A2B67"/>
    <w:rsid w:val="005A3CE8"/>
    <w:rsid w:val="005A734F"/>
    <w:rsid w:val="005B1A52"/>
    <w:rsid w:val="005B5D6D"/>
    <w:rsid w:val="005C51E6"/>
    <w:rsid w:val="005C6F01"/>
    <w:rsid w:val="005D1C1F"/>
    <w:rsid w:val="005D2489"/>
    <w:rsid w:val="005E18C5"/>
    <w:rsid w:val="005E453F"/>
    <w:rsid w:val="005E68F8"/>
    <w:rsid w:val="005F736A"/>
    <w:rsid w:val="006019AF"/>
    <w:rsid w:val="006074D4"/>
    <w:rsid w:val="00610B2F"/>
    <w:rsid w:val="00612E87"/>
    <w:rsid w:val="00621D79"/>
    <w:rsid w:val="00621EE4"/>
    <w:rsid w:val="00630561"/>
    <w:rsid w:val="00633A51"/>
    <w:rsid w:val="006409A0"/>
    <w:rsid w:val="0066533A"/>
    <w:rsid w:val="0066619C"/>
    <w:rsid w:val="00667C67"/>
    <w:rsid w:val="00671392"/>
    <w:rsid w:val="00681C9C"/>
    <w:rsid w:val="00695D8A"/>
    <w:rsid w:val="00695F45"/>
    <w:rsid w:val="006A0C19"/>
    <w:rsid w:val="006A619E"/>
    <w:rsid w:val="006A7A10"/>
    <w:rsid w:val="006C6374"/>
    <w:rsid w:val="006E4FAF"/>
    <w:rsid w:val="006F1FDB"/>
    <w:rsid w:val="00710401"/>
    <w:rsid w:val="00712A6A"/>
    <w:rsid w:val="0072182B"/>
    <w:rsid w:val="0072434D"/>
    <w:rsid w:val="00732543"/>
    <w:rsid w:val="00733996"/>
    <w:rsid w:val="00737257"/>
    <w:rsid w:val="00756996"/>
    <w:rsid w:val="007636FD"/>
    <w:rsid w:val="00772E4E"/>
    <w:rsid w:val="00775E9C"/>
    <w:rsid w:val="00795C40"/>
    <w:rsid w:val="007A0657"/>
    <w:rsid w:val="007B4486"/>
    <w:rsid w:val="007B4D5C"/>
    <w:rsid w:val="007C0FF5"/>
    <w:rsid w:val="007D421B"/>
    <w:rsid w:val="007F7B72"/>
    <w:rsid w:val="00826AB7"/>
    <w:rsid w:val="00834DB6"/>
    <w:rsid w:val="00844D31"/>
    <w:rsid w:val="008457A3"/>
    <w:rsid w:val="00846320"/>
    <w:rsid w:val="008509BE"/>
    <w:rsid w:val="0085504A"/>
    <w:rsid w:val="00863EFA"/>
    <w:rsid w:val="008953F5"/>
    <w:rsid w:val="008A43FC"/>
    <w:rsid w:val="008A749C"/>
    <w:rsid w:val="008A7C39"/>
    <w:rsid w:val="008B43F7"/>
    <w:rsid w:val="008B649D"/>
    <w:rsid w:val="008C1100"/>
    <w:rsid w:val="008C4794"/>
    <w:rsid w:val="008C5730"/>
    <w:rsid w:val="008D37E5"/>
    <w:rsid w:val="008E493C"/>
    <w:rsid w:val="008F21AF"/>
    <w:rsid w:val="008F4C59"/>
    <w:rsid w:val="008F596C"/>
    <w:rsid w:val="00910D86"/>
    <w:rsid w:val="00912844"/>
    <w:rsid w:val="00912D03"/>
    <w:rsid w:val="0091483A"/>
    <w:rsid w:val="00915830"/>
    <w:rsid w:val="00917726"/>
    <w:rsid w:val="0093004D"/>
    <w:rsid w:val="00933791"/>
    <w:rsid w:val="00934F96"/>
    <w:rsid w:val="00971A27"/>
    <w:rsid w:val="009757AB"/>
    <w:rsid w:val="009B59D1"/>
    <w:rsid w:val="009C3A67"/>
    <w:rsid w:val="009D2ABE"/>
    <w:rsid w:val="009E0714"/>
    <w:rsid w:val="00A02396"/>
    <w:rsid w:val="00A07AB5"/>
    <w:rsid w:val="00A2039B"/>
    <w:rsid w:val="00A27B4F"/>
    <w:rsid w:val="00A3515A"/>
    <w:rsid w:val="00A47F58"/>
    <w:rsid w:val="00A6114F"/>
    <w:rsid w:val="00A61540"/>
    <w:rsid w:val="00A62237"/>
    <w:rsid w:val="00A67B8D"/>
    <w:rsid w:val="00A7184B"/>
    <w:rsid w:val="00A85674"/>
    <w:rsid w:val="00A91A2D"/>
    <w:rsid w:val="00A9622C"/>
    <w:rsid w:val="00A97C3F"/>
    <w:rsid w:val="00AA1E26"/>
    <w:rsid w:val="00AA2A49"/>
    <w:rsid w:val="00AC12E4"/>
    <w:rsid w:val="00AC5CF8"/>
    <w:rsid w:val="00AC77FE"/>
    <w:rsid w:val="00AD6EE8"/>
    <w:rsid w:val="00AD7516"/>
    <w:rsid w:val="00AF7E40"/>
    <w:rsid w:val="00B014C8"/>
    <w:rsid w:val="00B02EFC"/>
    <w:rsid w:val="00B11FD3"/>
    <w:rsid w:val="00B12084"/>
    <w:rsid w:val="00B174A7"/>
    <w:rsid w:val="00B20DB9"/>
    <w:rsid w:val="00B20E54"/>
    <w:rsid w:val="00B22974"/>
    <w:rsid w:val="00B22E9F"/>
    <w:rsid w:val="00B32FE0"/>
    <w:rsid w:val="00B34CC7"/>
    <w:rsid w:val="00B57340"/>
    <w:rsid w:val="00B57D05"/>
    <w:rsid w:val="00B72E98"/>
    <w:rsid w:val="00B81BC9"/>
    <w:rsid w:val="00B81E73"/>
    <w:rsid w:val="00B87020"/>
    <w:rsid w:val="00B93FD5"/>
    <w:rsid w:val="00BA37B7"/>
    <w:rsid w:val="00BA43E4"/>
    <w:rsid w:val="00BA4D0F"/>
    <w:rsid w:val="00BB4B5F"/>
    <w:rsid w:val="00BE1CAB"/>
    <w:rsid w:val="00BF48B9"/>
    <w:rsid w:val="00C01295"/>
    <w:rsid w:val="00C068DF"/>
    <w:rsid w:val="00C14491"/>
    <w:rsid w:val="00C275EA"/>
    <w:rsid w:val="00C40868"/>
    <w:rsid w:val="00C46CBF"/>
    <w:rsid w:val="00C55608"/>
    <w:rsid w:val="00C60AD7"/>
    <w:rsid w:val="00C6797F"/>
    <w:rsid w:val="00C9591F"/>
    <w:rsid w:val="00C95C75"/>
    <w:rsid w:val="00CA043F"/>
    <w:rsid w:val="00CA7441"/>
    <w:rsid w:val="00CC6E72"/>
    <w:rsid w:val="00CD6387"/>
    <w:rsid w:val="00CF6AE6"/>
    <w:rsid w:val="00D12B58"/>
    <w:rsid w:val="00D20AFE"/>
    <w:rsid w:val="00D21634"/>
    <w:rsid w:val="00D25748"/>
    <w:rsid w:val="00D30C4F"/>
    <w:rsid w:val="00D33F0A"/>
    <w:rsid w:val="00D44098"/>
    <w:rsid w:val="00D67904"/>
    <w:rsid w:val="00D90A26"/>
    <w:rsid w:val="00D96767"/>
    <w:rsid w:val="00DA1DF5"/>
    <w:rsid w:val="00DA5DDF"/>
    <w:rsid w:val="00DD48EF"/>
    <w:rsid w:val="00DD5353"/>
    <w:rsid w:val="00E058B5"/>
    <w:rsid w:val="00E059D7"/>
    <w:rsid w:val="00E05F69"/>
    <w:rsid w:val="00E311A6"/>
    <w:rsid w:val="00E32702"/>
    <w:rsid w:val="00E33A94"/>
    <w:rsid w:val="00E37A2A"/>
    <w:rsid w:val="00E40731"/>
    <w:rsid w:val="00E45A49"/>
    <w:rsid w:val="00E471F2"/>
    <w:rsid w:val="00E6322A"/>
    <w:rsid w:val="00E66505"/>
    <w:rsid w:val="00E81BD7"/>
    <w:rsid w:val="00EB35C8"/>
    <w:rsid w:val="00EB43D9"/>
    <w:rsid w:val="00EB7924"/>
    <w:rsid w:val="00EC7121"/>
    <w:rsid w:val="00ED275E"/>
    <w:rsid w:val="00EE0572"/>
    <w:rsid w:val="00EE3248"/>
    <w:rsid w:val="00EE3939"/>
    <w:rsid w:val="00EF4E84"/>
    <w:rsid w:val="00EF5BF8"/>
    <w:rsid w:val="00F00691"/>
    <w:rsid w:val="00F06CCE"/>
    <w:rsid w:val="00F07359"/>
    <w:rsid w:val="00F10765"/>
    <w:rsid w:val="00F15069"/>
    <w:rsid w:val="00F1515F"/>
    <w:rsid w:val="00F20A8C"/>
    <w:rsid w:val="00F230F2"/>
    <w:rsid w:val="00F2317D"/>
    <w:rsid w:val="00F33A90"/>
    <w:rsid w:val="00F361E1"/>
    <w:rsid w:val="00F36CD1"/>
    <w:rsid w:val="00F447E9"/>
    <w:rsid w:val="00F518B9"/>
    <w:rsid w:val="00F575BC"/>
    <w:rsid w:val="00F66128"/>
    <w:rsid w:val="00F66FA4"/>
    <w:rsid w:val="00F72390"/>
    <w:rsid w:val="00F801F0"/>
    <w:rsid w:val="00F80A4D"/>
    <w:rsid w:val="00F84B59"/>
    <w:rsid w:val="00F9056F"/>
    <w:rsid w:val="00FA1FBD"/>
    <w:rsid w:val="00FB5A41"/>
    <w:rsid w:val="00FC2ABA"/>
    <w:rsid w:val="00FE11FB"/>
    <w:rsid w:val="00FE45CA"/>
    <w:rsid w:val="00FE724A"/>
    <w:rsid w:val="00FF2B19"/>
    <w:rsid w:val="0113A44B"/>
    <w:rsid w:val="01370A14"/>
    <w:rsid w:val="01681322"/>
    <w:rsid w:val="01813B7F"/>
    <w:rsid w:val="018633AD"/>
    <w:rsid w:val="01B6E6C8"/>
    <w:rsid w:val="0296828F"/>
    <w:rsid w:val="031D0BE0"/>
    <w:rsid w:val="04A4AC12"/>
    <w:rsid w:val="04CE76FA"/>
    <w:rsid w:val="053FAD89"/>
    <w:rsid w:val="06407C73"/>
    <w:rsid w:val="0698DA8B"/>
    <w:rsid w:val="06DB7DEA"/>
    <w:rsid w:val="07EDF7E5"/>
    <w:rsid w:val="08774E4B"/>
    <w:rsid w:val="0989C846"/>
    <w:rsid w:val="09E8B896"/>
    <w:rsid w:val="0B13ED96"/>
    <w:rsid w:val="0B2598A7"/>
    <w:rsid w:val="0CCFD6ED"/>
    <w:rsid w:val="0DD91825"/>
    <w:rsid w:val="0EB28A31"/>
    <w:rsid w:val="0F65709D"/>
    <w:rsid w:val="0FE9E934"/>
    <w:rsid w:val="1026AA8B"/>
    <w:rsid w:val="10D82CDE"/>
    <w:rsid w:val="114B4FB5"/>
    <w:rsid w:val="11862472"/>
    <w:rsid w:val="1261F66B"/>
    <w:rsid w:val="1278EA4B"/>
    <w:rsid w:val="1320837D"/>
    <w:rsid w:val="1321F4D3"/>
    <w:rsid w:val="17F565F6"/>
    <w:rsid w:val="182E6CA9"/>
    <w:rsid w:val="190C5871"/>
    <w:rsid w:val="194526C3"/>
    <w:rsid w:val="1A0E9E3A"/>
    <w:rsid w:val="1A20F049"/>
    <w:rsid w:val="1A5CC125"/>
    <w:rsid w:val="1A651FA9"/>
    <w:rsid w:val="1AE0F724"/>
    <w:rsid w:val="1B38723B"/>
    <w:rsid w:val="1B542840"/>
    <w:rsid w:val="1E31C043"/>
    <w:rsid w:val="1E9812E2"/>
    <w:rsid w:val="1EE8D302"/>
    <w:rsid w:val="1F1204D1"/>
    <w:rsid w:val="1FB46847"/>
    <w:rsid w:val="1FCD90A4"/>
    <w:rsid w:val="21696105"/>
    <w:rsid w:val="22372ABA"/>
    <w:rsid w:val="22AE40D5"/>
    <w:rsid w:val="240B3A41"/>
    <w:rsid w:val="24175C4B"/>
    <w:rsid w:val="24D1C887"/>
    <w:rsid w:val="2623A9CB"/>
    <w:rsid w:val="27561537"/>
    <w:rsid w:val="27B76BF1"/>
    <w:rsid w:val="27C767B2"/>
    <w:rsid w:val="28B1ED32"/>
    <w:rsid w:val="2A95F3FD"/>
    <w:rsid w:val="2C22BD46"/>
    <w:rsid w:val="2CFEFF84"/>
    <w:rsid w:val="2D5CC867"/>
    <w:rsid w:val="30D437F2"/>
    <w:rsid w:val="3136EA51"/>
    <w:rsid w:val="314B0C93"/>
    <w:rsid w:val="3201E9CE"/>
    <w:rsid w:val="328D069C"/>
    <w:rsid w:val="330F83D2"/>
    <w:rsid w:val="343F57F5"/>
    <w:rsid w:val="3455953D"/>
    <w:rsid w:val="353E30F5"/>
    <w:rsid w:val="35BEF18E"/>
    <w:rsid w:val="35C99F8C"/>
    <w:rsid w:val="36100734"/>
    <w:rsid w:val="363A3AED"/>
    <w:rsid w:val="36D55AF1"/>
    <w:rsid w:val="38277A99"/>
    <w:rsid w:val="383987A5"/>
    <w:rsid w:val="38954AC2"/>
    <w:rsid w:val="38B62BD0"/>
    <w:rsid w:val="3A05C8FE"/>
    <w:rsid w:val="3A0DD2A0"/>
    <w:rsid w:val="3A74C23B"/>
    <w:rsid w:val="3A81A70B"/>
    <w:rsid w:val="3AAEBBC0"/>
    <w:rsid w:val="3B15C923"/>
    <w:rsid w:val="3B2B5ED2"/>
    <w:rsid w:val="3B44089D"/>
    <w:rsid w:val="3CE02ACC"/>
    <w:rsid w:val="3DD4B171"/>
    <w:rsid w:val="3E18B6D9"/>
    <w:rsid w:val="3E5206DA"/>
    <w:rsid w:val="3F69692D"/>
    <w:rsid w:val="3F7081D2"/>
    <w:rsid w:val="3F966069"/>
    <w:rsid w:val="40196421"/>
    <w:rsid w:val="40503C6B"/>
    <w:rsid w:val="410C5233"/>
    <w:rsid w:val="4213C02B"/>
    <w:rsid w:val="424B8189"/>
    <w:rsid w:val="424B9602"/>
    <w:rsid w:val="42EB7EF1"/>
    <w:rsid w:val="43B9EB0B"/>
    <w:rsid w:val="444EF0AA"/>
    <w:rsid w:val="449B65F9"/>
    <w:rsid w:val="44BC0E84"/>
    <w:rsid w:val="4517782C"/>
    <w:rsid w:val="45A8ECDF"/>
    <w:rsid w:val="476560B2"/>
    <w:rsid w:val="47D306BB"/>
    <w:rsid w:val="488F3CA2"/>
    <w:rsid w:val="493FB846"/>
    <w:rsid w:val="4978E5D7"/>
    <w:rsid w:val="49F1FEAE"/>
    <w:rsid w:val="4A2B0D03"/>
    <w:rsid w:val="4A6A1A3D"/>
    <w:rsid w:val="4BD7782E"/>
    <w:rsid w:val="4C018422"/>
    <w:rsid w:val="4C05EA9E"/>
    <w:rsid w:val="4EC077A3"/>
    <w:rsid w:val="4EC7F9E3"/>
    <w:rsid w:val="4F756AC5"/>
    <w:rsid w:val="4F877A7D"/>
    <w:rsid w:val="5005E35E"/>
    <w:rsid w:val="50314E53"/>
    <w:rsid w:val="50D95BC1"/>
    <w:rsid w:val="5106DB9C"/>
    <w:rsid w:val="51425CE3"/>
    <w:rsid w:val="5181D687"/>
    <w:rsid w:val="52690E96"/>
    <w:rsid w:val="52BE49B7"/>
    <w:rsid w:val="5368EF15"/>
    <w:rsid w:val="553F1BDD"/>
    <w:rsid w:val="55EAA8E3"/>
    <w:rsid w:val="55FEABF4"/>
    <w:rsid w:val="565E702F"/>
    <w:rsid w:val="572721CF"/>
    <w:rsid w:val="57411D17"/>
    <w:rsid w:val="57494AE2"/>
    <w:rsid w:val="57A6241E"/>
    <w:rsid w:val="585E3E6E"/>
    <w:rsid w:val="58C3C51B"/>
    <w:rsid w:val="593913B3"/>
    <w:rsid w:val="5A535074"/>
    <w:rsid w:val="5B9CED10"/>
    <w:rsid w:val="5BCB70A6"/>
    <w:rsid w:val="5BEF4950"/>
    <w:rsid w:val="5C1C0E68"/>
    <w:rsid w:val="5C357333"/>
    <w:rsid w:val="5C55AB18"/>
    <w:rsid w:val="5C6D1DF4"/>
    <w:rsid w:val="5DA44B07"/>
    <w:rsid w:val="5F33069F"/>
    <w:rsid w:val="5F595EA6"/>
    <w:rsid w:val="5FBFBBAE"/>
    <w:rsid w:val="5FF01DDB"/>
    <w:rsid w:val="60AD1852"/>
    <w:rsid w:val="60DA82C5"/>
    <w:rsid w:val="60EF7F8B"/>
    <w:rsid w:val="61FD0158"/>
    <w:rsid w:val="626D2CF4"/>
    <w:rsid w:val="628B4FEC"/>
    <w:rsid w:val="62D9CCDE"/>
    <w:rsid w:val="6427204D"/>
    <w:rsid w:val="65008460"/>
    <w:rsid w:val="654DCA77"/>
    <w:rsid w:val="6552C2A5"/>
    <w:rsid w:val="65727719"/>
    <w:rsid w:val="657D8407"/>
    <w:rsid w:val="65C2F0AE"/>
    <w:rsid w:val="66207787"/>
    <w:rsid w:val="66ABEB5F"/>
    <w:rsid w:val="66D0727B"/>
    <w:rsid w:val="66E99AD8"/>
    <w:rsid w:val="671F8FEB"/>
    <w:rsid w:val="6821A3FA"/>
    <w:rsid w:val="69E0445B"/>
    <w:rsid w:val="6A2633C8"/>
    <w:rsid w:val="6A5AB031"/>
    <w:rsid w:val="6B70FC67"/>
    <w:rsid w:val="6C19772D"/>
    <w:rsid w:val="6C850595"/>
    <w:rsid w:val="6C8E9EE7"/>
    <w:rsid w:val="6D197452"/>
    <w:rsid w:val="6D9DA674"/>
    <w:rsid w:val="6DBBB871"/>
    <w:rsid w:val="6E3F90E2"/>
    <w:rsid w:val="6EA89D29"/>
    <w:rsid w:val="6F791D23"/>
    <w:rsid w:val="70D99A1A"/>
    <w:rsid w:val="71B46903"/>
    <w:rsid w:val="73800AB6"/>
    <w:rsid w:val="741E49AE"/>
    <w:rsid w:val="7454B09C"/>
    <w:rsid w:val="74A7B0A4"/>
    <w:rsid w:val="759B9184"/>
    <w:rsid w:val="77601FEC"/>
    <w:rsid w:val="7780DF41"/>
    <w:rsid w:val="77CDB4F0"/>
    <w:rsid w:val="77F6D849"/>
    <w:rsid w:val="77FEC613"/>
    <w:rsid w:val="7892E82B"/>
    <w:rsid w:val="78F80C2F"/>
    <w:rsid w:val="79D709DA"/>
    <w:rsid w:val="7A7A00C3"/>
    <w:rsid w:val="7B524871"/>
    <w:rsid w:val="7D11B5BB"/>
    <w:rsid w:val="7D2ADE18"/>
    <w:rsid w:val="7DE775A5"/>
    <w:rsid w:val="7ED1D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8527"/>
  <w15:docId w15:val="{50A50ABA-56CD-4CF3-B6AD-8FCDA961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6A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16"/>
    <w:pPr>
      <w:keepNext/>
      <w:spacing w:line="276" w:lineRule="auto"/>
      <w:jc w:val="both"/>
      <w:outlineLvl w:val="0"/>
    </w:pPr>
    <w:rPr>
      <w:rFonts w:ascii="Helvetica" w:hAnsi="Helvetica" w:cs="Helvetic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065E"/>
    <w:pPr>
      <w:suppressAutoHyphens w:val="0"/>
      <w:overflowPunct/>
      <w:autoSpaceDE/>
      <w:autoSpaceDN/>
      <w:ind w:left="720"/>
      <w:contextualSpacing/>
      <w:textAlignment w:val="auto"/>
    </w:pPr>
    <w:rPr>
      <w:kern w:val="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EF4E84"/>
    <w:pPr>
      <w:suppressAutoHyphens w:val="0"/>
      <w:overflowPunct/>
      <w:autoSpaceDE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E84"/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ormaltextrun">
    <w:name w:val="normaltextrun"/>
    <w:basedOn w:val="DefaultParagraphFont"/>
    <w:rsid w:val="005E18C5"/>
  </w:style>
  <w:style w:type="paragraph" w:styleId="BodyText">
    <w:name w:val="Body Text"/>
    <w:basedOn w:val="Normal"/>
    <w:link w:val="BodyTextChar"/>
    <w:uiPriority w:val="99"/>
    <w:unhideWhenUsed/>
    <w:rsid w:val="001D4914"/>
    <w:pPr>
      <w:spacing w:line="276" w:lineRule="auto"/>
      <w:jc w:val="both"/>
    </w:pPr>
    <w:rPr>
      <w:rFonts w:ascii="Helvetica" w:hAnsi="Helvetica" w:cs="Helvetic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D4914"/>
    <w:rPr>
      <w:rFonts w:ascii="Helvetica" w:hAnsi="Helvetica" w:cs="Helvetica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7516"/>
    <w:rPr>
      <w:rFonts w:ascii="Helvetica" w:hAnsi="Helvetica" w:cs="Helvetica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A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E059D7"/>
    <w:pPr>
      <w:suppressAutoHyphens w:val="0"/>
      <w:overflowPunct/>
      <w:autoSpaceDE/>
      <w:autoSpaceDN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939"/>
    <w:pPr>
      <w:suppressAutoHyphens/>
      <w:overflowPunct w:val="0"/>
      <w:autoSpaceDE w:val="0"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  <w:kern w:val="3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939"/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326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PXF9NWT?JobRef=113376&amp;CPDept=BOSS&amp;Org=Maudsle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b4dbc-2514-4826-99cc-21762cea279b" xsi:nil="true"/>
    <lcf76f155ced4ddcb4097134ff3c332f xmlns="40cd88d1-ce64-4a25-bcea-e35bb7cf0c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CF732F6C12489989C60002CBA88A" ma:contentTypeVersion="10" ma:contentTypeDescription="Create a new document." ma:contentTypeScope="" ma:versionID="8b6757ca3a5e675db25e9b489c50e4e4">
  <xsd:schema xmlns:xsd="http://www.w3.org/2001/XMLSchema" xmlns:xs="http://www.w3.org/2001/XMLSchema" xmlns:p="http://schemas.microsoft.com/office/2006/metadata/properties" xmlns:ns2="40cd88d1-ce64-4a25-bcea-e35bb7cf0c08" xmlns:ns3="065b4dbc-2514-4826-99cc-21762cea279b" targetNamespace="http://schemas.microsoft.com/office/2006/metadata/properties" ma:root="true" ma:fieldsID="625c1cff63dc86022f1e60e7bd9958bf" ns2:_="" ns3:_="">
    <xsd:import namespace="40cd88d1-ce64-4a25-bcea-e35bb7cf0c08"/>
    <xsd:import namespace="065b4dbc-2514-4826-99cc-21762cea2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d88d1-ce64-4a25-bcea-e35bb7cf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f9f28f-21a3-4934-9f4d-89e931e20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b4dbc-2514-4826-99cc-21762cea27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fa9d7-87b7-4577-b75c-e0079bca2d70}" ma:internalName="TaxCatchAll" ma:showField="CatchAllData" ma:web="065b4dbc-2514-4826-99cc-21762cea2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42F63-D2CC-457A-AF4A-2A1460EB9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953C3E-6F43-4D67-9EF2-B163A1B468DE}">
  <ds:schemaRefs>
    <ds:schemaRef ds:uri="http://schemas.microsoft.com/office/2006/metadata/properties"/>
    <ds:schemaRef ds:uri="http://schemas.microsoft.com/office/infopath/2007/PartnerControls"/>
    <ds:schemaRef ds:uri="065b4dbc-2514-4826-99cc-21762cea279b"/>
    <ds:schemaRef ds:uri="40cd88d1-ce64-4a25-bcea-e35bb7cf0c08"/>
  </ds:schemaRefs>
</ds:datastoreItem>
</file>

<file path=customXml/itemProps3.xml><?xml version="1.0" encoding="utf-8"?>
<ds:datastoreItem xmlns:ds="http://schemas.openxmlformats.org/officeDocument/2006/customXml" ds:itemID="{DDE3367C-8DE2-4B65-978C-BF3DE7A73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93CF8-41EC-40B4-9B1A-E8F7A3EB5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d88d1-ce64-4a25-bcea-e35bb7cf0c08"/>
    <ds:schemaRef ds:uri="065b4dbc-2514-4826-99cc-21762cea2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 job description</dc:title>
  <dc:subject/>
  <dc:creator>dwebb</dc:creator>
  <cp:keywords/>
  <cp:lastModifiedBy>Soo Eun Sexton</cp:lastModifiedBy>
  <cp:revision>4</cp:revision>
  <cp:lastPrinted>2022-01-13T22:28:00Z</cp:lastPrinted>
  <dcterms:created xsi:type="dcterms:W3CDTF">2026-06-30T08:11:00Z</dcterms:created>
  <dcterms:modified xsi:type="dcterms:W3CDTF">2026-06-30T10:58:00Z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0x0101005A9BCF732F6C12489989C60002CBA88A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