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1ACC" w14:textId="09AA61E0" w:rsidR="00146F64" w:rsidRPr="00EC1F71" w:rsidRDefault="00E313F3" w:rsidP="00BE06CA">
      <w:p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Finance</w:t>
      </w:r>
      <w:r w:rsidR="00514685">
        <w:rPr>
          <w:b/>
          <w:bCs/>
          <w:sz w:val="32"/>
          <w:szCs w:val="32"/>
        </w:rPr>
        <w:t xml:space="preserve"> Administrator</w:t>
      </w:r>
      <w:r>
        <w:rPr>
          <w:b/>
          <w:bCs/>
          <w:sz w:val="32"/>
          <w:szCs w:val="32"/>
        </w:rPr>
        <w:t xml:space="preserve"> </w:t>
      </w:r>
      <w:r w:rsidR="00D43DC7">
        <w:rPr>
          <w:b/>
          <w:bCs/>
          <w:sz w:val="32"/>
          <w:szCs w:val="32"/>
        </w:rPr>
        <w:t>– Job Description</w:t>
      </w:r>
    </w:p>
    <w:p w14:paraId="5AD2CF17" w14:textId="24444EA5" w:rsidR="00486D5B" w:rsidRPr="00F21AA2" w:rsidRDefault="00486D5B" w:rsidP="00146F64">
      <w:pPr>
        <w:spacing w:after="0" w:line="240" w:lineRule="auto"/>
        <w:rPr>
          <w:color w:val="000000" w:themeColor="text1"/>
        </w:rPr>
      </w:pPr>
      <w:r w:rsidRPr="00F21AA2">
        <w:rPr>
          <w:b/>
          <w:bCs/>
          <w:color w:val="000000" w:themeColor="text1"/>
        </w:rPr>
        <w:t>Reports to:</w:t>
      </w:r>
      <w:r w:rsidRPr="00F21AA2">
        <w:rPr>
          <w:color w:val="000000" w:themeColor="text1"/>
        </w:rPr>
        <w:t xml:space="preserve"> </w:t>
      </w:r>
      <w:r w:rsidR="00C811F9">
        <w:rPr>
          <w:color w:val="000000" w:themeColor="text1"/>
        </w:rPr>
        <w:t>Treasurer</w:t>
      </w:r>
      <w:r w:rsidR="00514685">
        <w:rPr>
          <w:color w:val="000000" w:themeColor="text1"/>
        </w:rPr>
        <w:t xml:space="preserve"> </w:t>
      </w:r>
    </w:p>
    <w:p w14:paraId="11EDC92C" w14:textId="2F96BF66" w:rsidR="00486D5B" w:rsidRPr="00F21AA2" w:rsidRDefault="00486D5B" w:rsidP="00146F64">
      <w:pPr>
        <w:spacing w:after="0" w:line="240" w:lineRule="auto"/>
        <w:rPr>
          <w:color w:val="000000" w:themeColor="text1"/>
        </w:rPr>
      </w:pPr>
      <w:r w:rsidRPr="00F21AA2">
        <w:rPr>
          <w:b/>
          <w:bCs/>
          <w:color w:val="000000" w:themeColor="text1"/>
        </w:rPr>
        <w:t>Direct reports:</w:t>
      </w:r>
      <w:r w:rsidRPr="00F21AA2">
        <w:rPr>
          <w:color w:val="000000" w:themeColor="text1"/>
        </w:rPr>
        <w:t xml:space="preserve"> </w:t>
      </w:r>
      <w:r w:rsidR="000318D4">
        <w:rPr>
          <w:color w:val="000000" w:themeColor="text1"/>
        </w:rPr>
        <w:t>N</w:t>
      </w:r>
      <w:r w:rsidR="00242118">
        <w:rPr>
          <w:color w:val="000000" w:themeColor="text1"/>
        </w:rPr>
        <w:t>/A</w:t>
      </w:r>
    </w:p>
    <w:p w14:paraId="25D02ACC" w14:textId="34871997" w:rsidR="005574DF" w:rsidRPr="00F21AA2" w:rsidRDefault="005574DF" w:rsidP="00146F64">
      <w:pPr>
        <w:spacing w:after="0" w:line="240" w:lineRule="auto"/>
        <w:rPr>
          <w:color w:val="000000" w:themeColor="text1"/>
        </w:rPr>
      </w:pPr>
      <w:r w:rsidRPr="00F21AA2">
        <w:rPr>
          <w:b/>
          <w:bCs/>
          <w:color w:val="000000" w:themeColor="text1"/>
        </w:rPr>
        <w:t>Location:</w:t>
      </w:r>
      <w:r w:rsidRPr="00F21AA2">
        <w:rPr>
          <w:color w:val="000000" w:themeColor="text1"/>
        </w:rPr>
        <w:t xml:space="preserve"> Hybrid with at </w:t>
      </w:r>
      <w:r w:rsidR="004324A7">
        <w:rPr>
          <w:color w:val="000000" w:themeColor="text1"/>
        </w:rPr>
        <w:t xml:space="preserve">least </w:t>
      </w:r>
      <w:r w:rsidR="0055581F" w:rsidRPr="00F21AA2">
        <w:rPr>
          <w:color w:val="000000" w:themeColor="text1"/>
        </w:rPr>
        <w:t xml:space="preserve">one day a week </w:t>
      </w:r>
      <w:r w:rsidR="002F7C7E" w:rsidRPr="00F21AA2">
        <w:rPr>
          <w:color w:val="000000" w:themeColor="text1"/>
        </w:rPr>
        <w:t xml:space="preserve">at the </w:t>
      </w:r>
      <w:r w:rsidR="00DD4220">
        <w:rPr>
          <w:color w:val="000000" w:themeColor="text1"/>
        </w:rPr>
        <w:t>Power Up North London</w:t>
      </w:r>
      <w:r w:rsidR="0096723C">
        <w:rPr>
          <w:color w:val="000000" w:themeColor="text1"/>
        </w:rPr>
        <w:t xml:space="preserve"> </w:t>
      </w:r>
      <w:r w:rsidR="002F7C7E" w:rsidRPr="00F21AA2">
        <w:rPr>
          <w:color w:val="000000" w:themeColor="text1"/>
        </w:rPr>
        <w:t>office</w:t>
      </w:r>
    </w:p>
    <w:p w14:paraId="3C1A49E3" w14:textId="3AEDE00B" w:rsidR="002F7C7E" w:rsidRPr="00F21AA2" w:rsidRDefault="002F7C7E" w:rsidP="00146F64">
      <w:pPr>
        <w:spacing w:after="0" w:line="240" w:lineRule="auto"/>
        <w:rPr>
          <w:color w:val="000000" w:themeColor="text1"/>
        </w:rPr>
      </w:pPr>
      <w:r w:rsidRPr="00F21AA2">
        <w:rPr>
          <w:b/>
          <w:bCs/>
          <w:color w:val="000000" w:themeColor="text1"/>
        </w:rPr>
        <w:t>Contract:</w:t>
      </w:r>
      <w:r w:rsidRPr="00F21AA2">
        <w:rPr>
          <w:color w:val="000000" w:themeColor="text1"/>
        </w:rPr>
        <w:t xml:space="preserve"> </w:t>
      </w:r>
      <w:r w:rsidR="00514685">
        <w:rPr>
          <w:color w:val="000000" w:themeColor="text1"/>
        </w:rPr>
        <w:t>Part time</w:t>
      </w:r>
      <w:r w:rsidRPr="00F21AA2">
        <w:rPr>
          <w:color w:val="000000" w:themeColor="text1"/>
        </w:rPr>
        <w:t xml:space="preserve"> (</w:t>
      </w:r>
      <w:r w:rsidR="00DD4220">
        <w:rPr>
          <w:color w:val="000000" w:themeColor="text1"/>
        </w:rPr>
        <w:t xml:space="preserve">15 </w:t>
      </w:r>
      <w:r w:rsidR="00927058" w:rsidRPr="00F21AA2">
        <w:rPr>
          <w:color w:val="000000" w:themeColor="text1"/>
        </w:rPr>
        <w:t xml:space="preserve">hours </w:t>
      </w:r>
      <w:r w:rsidRPr="00F21AA2">
        <w:rPr>
          <w:color w:val="000000" w:themeColor="text1"/>
        </w:rPr>
        <w:t>a week)</w:t>
      </w:r>
    </w:p>
    <w:p w14:paraId="5269ED83" w14:textId="244042EE" w:rsidR="00946DF7" w:rsidRPr="00F21AA2" w:rsidRDefault="00946DF7" w:rsidP="005540B6">
      <w:pPr>
        <w:pBdr>
          <w:bottom w:val="single" w:sz="4" w:space="9" w:color="auto"/>
        </w:pBdr>
        <w:spacing w:after="120" w:line="240" w:lineRule="auto"/>
        <w:rPr>
          <w:color w:val="000000" w:themeColor="text1"/>
        </w:rPr>
      </w:pPr>
      <w:r w:rsidRPr="00F21AA2">
        <w:rPr>
          <w:b/>
          <w:bCs/>
          <w:color w:val="000000" w:themeColor="text1"/>
        </w:rPr>
        <w:t>Salary:</w:t>
      </w:r>
      <w:r w:rsidRPr="00F21AA2">
        <w:rPr>
          <w:color w:val="000000" w:themeColor="text1"/>
        </w:rPr>
        <w:t xml:space="preserve"> </w:t>
      </w:r>
      <w:r w:rsidR="00514685" w:rsidRPr="00514685">
        <w:rPr>
          <w:color w:val="000000" w:themeColor="text1"/>
        </w:rPr>
        <w:t>£</w:t>
      </w:r>
      <w:r w:rsidR="00DD4220">
        <w:rPr>
          <w:color w:val="000000" w:themeColor="text1"/>
        </w:rPr>
        <w:t>12,000</w:t>
      </w:r>
      <w:r w:rsidR="00514685" w:rsidRPr="00514685">
        <w:rPr>
          <w:color w:val="000000" w:themeColor="text1"/>
        </w:rPr>
        <w:t xml:space="preserve"> per annum (pro-rata, based on </w:t>
      </w:r>
      <w:r w:rsidR="00514685">
        <w:rPr>
          <w:color w:val="000000" w:themeColor="text1"/>
        </w:rPr>
        <w:t>1</w:t>
      </w:r>
      <w:r w:rsidR="00DD4220">
        <w:rPr>
          <w:color w:val="000000" w:themeColor="text1"/>
        </w:rPr>
        <w:t>5</w:t>
      </w:r>
      <w:r w:rsidR="00514685" w:rsidRPr="00514685">
        <w:rPr>
          <w:color w:val="000000" w:themeColor="text1"/>
        </w:rPr>
        <w:t xml:space="preserve"> hours a week)</w:t>
      </w:r>
    </w:p>
    <w:p w14:paraId="708655C6" w14:textId="3252E67B" w:rsidR="00A8197A" w:rsidRPr="00214AE7" w:rsidRDefault="00874279" w:rsidP="00BE06CA">
      <w:pPr>
        <w:spacing w:after="12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Role </w:t>
      </w:r>
      <w:r w:rsidR="006A374F" w:rsidRPr="00214AE7">
        <w:rPr>
          <w:b/>
          <w:bCs/>
          <w:color w:val="000000" w:themeColor="text1"/>
          <w:sz w:val="28"/>
          <w:szCs w:val="28"/>
        </w:rPr>
        <w:t>Purpose</w:t>
      </w:r>
    </w:p>
    <w:p w14:paraId="2223A381" w14:textId="714D8354" w:rsidR="008E0C91" w:rsidRDefault="00DD4220" w:rsidP="00AD10D5">
      <w:pPr>
        <w:pBdr>
          <w:bottom w:val="single" w:sz="4" w:space="8" w:color="auto"/>
        </w:pBdr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>Power Up North London</w:t>
      </w:r>
      <w:r w:rsidR="0096723C">
        <w:rPr>
          <w:color w:val="000000" w:themeColor="text1"/>
        </w:rPr>
        <w:t xml:space="preserve"> </w:t>
      </w:r>
      <w:r w:rsidR="00BA7C33" w:rsidRPr="00BA7C33">
        <w:rPr>
          <w:color w:val="000000" w:themeColor="text1"/>
        </w:rPr>
        <w:t xml:space="preserve">is </w:t>
      </w:r>
      <w:r>
        <w:rPr>
          <w:color w:val="000000" w:themeColor="text1"/>
        </w:rPr>
        <w:t>a leading</w:t>
      </w:r>
      <w:r w:rsidR="00BA7C33" w:rsidRPr="00BA7C33">
        <w:rPr>
          <w:color w:val="000000" w:themeColor="text1"/>
        </w:rPr>
        <w:t xml:space="preserve"> community energy organisation delivering renewable energy, energy efficiency and retrofit projects that directly benefit community groups and public buildings. We</w:t>
      </w:r>
      <w:r>
        <w:rPr>
          <w:color w:val="000000" w:themeColor="text1"/>
        </w:rPr>
        <w:t xml:space="preserve"> a</w:t>
      </w:r>
      <w:r w:rsidR="00BA7C33" w:rsidRPr="00BA7C33">
        <w:rPr>
          <w:color w:val="000000" w:themeColor="text1"/>
        </w:rPr>
        <w:t>re driven by a belief that communities can and must play a central role in the transition to a zero-carbon future.</w:t>
      </w:r>
    </w:p>
    <w:p w14:paraId="7E277529" w14:textId="4BE0CF4F" w:rsidR="00EA03D8" w:rsidRDefault="00874279" w:rsidP="00874279">
      <w:pPr>
        <w:pBdr>
          <w:bottom w:val="single" w:sz="4" w:space="8" w:color="auto"/>
        </w:pBdr>
        <w:spacing w:after="120" w:line="240" w:lineRule="auto"/>
        <w:rPr>
          <w:color w:val="000000" w:themeColor="text1"/>
        </w:rPr>
      </w:pPr>
      <w:r w:rsidRPr="00874279">
        <w:rPr>
          <w:color w:val="000000" w:themeColor="text1"/>
        </w:rPr>
        <w:t xml:space="preserve">The Finance Administrator is responsible for financial </w:t>
      </w:r>
      <w:r w:rsidR="00EA03D8">
        <w:rPr>
          <w:color w:val="000000" w:themeColor="text1"/>
        </w:rPr>
        <w:t>management</w:t>
      </w:r>
      <w:r w:rsidRPr="00874279">
        <w:rPr>
          <w:color w:val="000000" w:themeColor="text1"/>
        </w:rPr>
        <w:t xml:space="preserve"> and integrity of </w:t>
      </w:r>
      <w:r w:rsidR="00DD4220">
        <w:rPr>
          <w:color w:val="000000" w:themeColor="text1"/>
        </w:rPr>
        <w:t>Power Up North London</w:t>
      </w:r>
      <w:r w:rsidRPr="00874279">
        <w:rPr>
          <w:color w:val="000000" w:themeColor="text1"/>
        </w:rPr>
        <w:t xml:space="preserve">’s </w:t>
      </w:r>
      <w:r w:rsidR="00EA03D8">
        <w:rPr>
          <w:color w:val="000000" w:themeColor="text1"/>
        </w:rPr>
        <w:t xml:space="preserve">financial </w:t>
      </w:r>
      <w:r w:rsidRPr="00874279">
        <w:rPr>
          <w:color w:val="000000" w:themeColor="text1"/>
        </w:rPr>
        <w:t>operations.</w:t>
      </w:r>
      <w:r>
        <w:rPr>
          <w:color w:val="000000" w:themeColor="text1"/>
        </w:rPr>
        <w:t xml:space="preserve"> </w:t>
      </w:r>
      <w:r w:rsidRPr="00874279">
        <w:rPr>
          <w:color w:val="000000" w:themeColor="text1"/>
        </w:rPr>
        <w:t xml:space="preserve">This role </w:t>
      </w:r>
      <w:r w:rsidR="00EA03D8">
        <w:rPr>
          <w:color w:val="000000" w:themeColor="text1"/>
        </w:rPr>
        <w:t xml:space="preserve">will deliver accurate financial and management reporting, budget tracking and </w:t>
      </w:r>
      <w:r w:rsidRPr="00874279">
        <w:rPr>
          <w:color w:val="000000" w:themeColor="text1"/>
        </w:rPr>
        <w:t xml:space="preserve">oversight of </w:t>
      </w:r>
      <w:r w:rsidR="00EA03D8">
        <w:rPr>
          <w:color w:val="000000" w:themeColor="text1"/>
        </w:rPr>
        <w:t xml:space="preserve">finance processes including cashflow management, invoicing, payments, and associated controls. </w:t>
      </w:r>
    </w:p>
    <w:p w14:paraId="06949457" w14:textId="1965C9A7" w:rsidR="00874279" w:rsidRDefault="00874279" w:rsidP="00874279">
      <w:pPr>
        <w:pBdr>
          <w:bottom w:val="single" w:sz="4" w:space="8" w:color="auto"/>
        </w:pBdr>
        <w:spacing w:after="120" w:line="240" w:lineRule="auto"/>
        <w:rPr>
          <w:color w:val="000000" w:themeColor="text1"/>
        </w:rPr>
      </w:pPr>
      <w:r w:rsidRPr="00874279">
        <w:rPr>
          <w:color w:val="000000" w:themeColor="text1"/>
        </w:rPr>
        <w:t xml:space="preserve">Working closely with the </w:t>
      </w:r>
      <w:r w:rsidR="00435FF5">
        <w:rPr>
          <w:color w:val="000000" w:themeColor="text1"/>
        </w:rPr>
        <w:t>Board and</w:t>
      </w:r>
      <w:r w:rsidRPr="00874279">
        <w:rPr>
          <w:color w:val="000000" w:themeColor="text1"/>
        </w:rPr>
        <w:t xml:space="preserve"> external finance partners, the postholder will provide the financial insight and control needed to support decision-making, maintain funder confidence, and enable sustainable growth.</w:t>
      </w:r>
    </w:p>
    <w:p w14:paraId="4E8D22D3" w14:textId="6282EE3A" w:rsidR="00844B12" w:rsidRPr="00214AE7" w:rsidRDefault="000B4454" w:rsidP="00214AE7">
      <w:pPr>
        <w:spacing w:line="240" w:lineRule="auto"/>
        <w:rPr>
          <w:b/>
          <w:bCs/>
          <w:sz w:val="28"/>
          <w:szCs w:val="28"/>
        </w:rPr>
      </w:pPr>
      <w:r w:rsidRPr="00214AE7">
        <w:rPr>
          <w:b/>
          <w:bCs/>
          <w:sz w:val="28"/>
          <w:szCs w:val="28"/>
        </w:rPr>
        <w:t xml:space="preserve">Key </w:t>
      </w:r>
      <w:r w:rsidR="00113AE4" w:rsidRPr="00214AE7">
        <w:rPr>
          <w:b/>
          <w:bCs/>
          <w:sz w:val="28"/>
          <w:szCs w:val="28"/>
        </w:rPr>
        <w:t>r</w:t>
      </w:r>
      <w:r w:rsidRPr="00214AE7">
        <w:rPr>
          <w:b/>
          <w:bCs/>
          <w:sz w:val="28"/>
          <w:szCs w:val="28"/>
        </w:rPr>
        <w:t>esponsibilities</w:t>
      </w:r>
    </w:p>
    <w:p w14:paraId="3F47B9A4" w14:textId="2DC330B3" w:rsidR="000B4454" w:rsidRPr="00AF7B36" w:rsidRDefault="00874279" w:rsidP="003B464C">
      <w:pPr>
        <w:spacing w:after="120" w:line="240" w:lineRule="auto"/>
        <w:rPr>
          <w:b/>
          <w:bCs/>
        </w:rPr>
      </w:pPr>
      <w:r>
        <w:rPr>
          <w:b/>
          <w:bCs/>
        </w:rPr>
        <w:t>Financial</w:t>
      </w:r>
      <w:r w:rsidR="00435FF5">
        <w:rPr>
          <w:b/>
          <w:bCs/>
        </w:rPr>
        <w:t xml:space="preserve"> </w:t>
      </w:r>
      <w:r w:rsidR="006E7F17">
        <w:rPr>
          <w:b/>
          <w:bCs/>
        </w:rPr>
        <w:t xml:space="preserve">Management and Governance </w:t>
      </w:r>
    </w:p>
    <w:p w14:paraId="74D2F273" w14:textId="0A7DF24D" w:rsidR="00874279" w:rsidRDefault="00874279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 xml:space="preserve">Maintain oversight of </w:t>
      </w:r>
      <w:r w:rsidR="00DD4220">
        <w:rPr>
          <w:color w:val="000000" w:themeColor="text1"/>
        </w:rPr>
        <w:t xml:space="preserve">Power Up North London </w:t>
      </w:r>
      <w:r w:rsidRPr="00874279">
        <w:rPr>
          <w:color w:val="000000" w:themeColor="text1"/>
        </w:rPr>
        <w:t xml:space="preserve">’s financial accounts, ensuring accuracy and integrity across all financial processes </w:t>
      </w:r>
    </w:p>
    <w:p w14:paraId="73F7F977" w14:textId="67D2619E" w:rsidR="006E7F17" w:rsidRPr="00874279" w:rsidRDefault="006E7F17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 xml:space="preserve">Prepare </w:t>
      </w:r>
      <w:r w:rsidR="00DD4220">
        <w:rPr>
          <w:color w:val="000000" w:themeColor="text1"/>
        </w:rPr>
        <w:t xml:space="preserve">monthly </w:t>
      </w:r>
      <w:r w:rsidRPr="00874279">
        <w:rPr>
          <w:color w:val="000000" w:themeColor="text1"/>
        </w:rPr>
        <w:t>management accounts for internal review and Board reporting</w:t>
      </w:r>
    </w:p>
    <w:p w14:paraId="5BAC2A53" w14:textId="047E2EF4" w:rsidR="00874279" w:rsidRPr="00874279" w:rsidRDefault="00874279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 xml:space="preserve">Support preparation and management of the annual budget </w:t>
      </w:r>
    </w:p>
    <w:p w14:paraId="18E75C66" w14:textId="0A24748B" w:rsidR="00435FF5" w:rsidRDefault="00874279" w:rsidP="006E7F17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 xml:space="preserve">Track </w:t>
      </w:r>
      <w:r w:rsidR="00435FF5">
        <w:rPr>
          <w:color w:val="000000" w:themeColor="text1"/>
        </w:rPr>
        <w:t>income and</w:t>
      </w:r>
      <w:r w:rsidRPr="00874279">
        <w:rPr>
          <w:color w:val="000000" w:themeColor="text1"/>
        </w:rPr>
        <w:t xml:space="preserve"> expenditure against the approved budget, identifying and explaining variances </w:t>
      </w:r>
    </w:p>
    <w:p w14:paraId="18776E58" w14:textId="4800225B" w:rsidR="00DD4220" w:rsidRDefault="0096723C" w:rsidP="006E7F17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Tracking of g</w:t>
      </w:r>
      <w:r w:rsidR="00DD4220">
        <w:rPr>
          <w:color w:val="000000" w:themeColor="text1"/>
        </w:rPr>
        <w:t xml:space="preserve">rant and project </w:t>
      </w:r>
      <w:r>
        <w:rPr>
          <w:color w:val="000000" w:themeColor="text1"/>
        </w:rPr>
        <w:t>income and expenditures against budget</w:t>
      </w:r>
    </w:p>
    <w:p w14:paraId="3397AD19" w14:textId="57283894" w:rsidR="006E7F17" w:rsidRDefault="006E7F17" w:rsidP="006E7F17">
      <w:pPr>
        <w:pStyle w:val="ListParagraph"/>
        <w:spacing w:after="0" w:line="240" w:lineRule="auto"/>
        <w:ind w:left="714"/>
        <w:rPr>
          <w:color w:val="000000" w:themeColor="text1"/>
        </w:rPr>
      </w:pPr>
    </w:p>
    <w:p w14:paraId="2395F196" w14:textId="77777777" w:rsidR="005B415D" w:rsidRPr="003B464C" w:rsidRDefault="005B415D" w:rsidP="005B415D">
      <w:pPr>
        <w:spacing w:before="120"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Billing and Revenue Assurance </w:t>
      </w:r>
    </w:p>
    <w:p w14:paraId="0615C49D" w14:textId="3E384B3A" w:rsidR="00DD4220" w:rsidRDefault="00DD4220" w:rsidP="005B415D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Ensure timely billing and effective debtor management</w:t>
      </w:r>
    </w:p>
    <w:p w14:paraId="4A61C5FB" w14:textId="1CC53D54" w:rsidR="005B415D" w:rsidRPr="00874279" w:rsidRDefault="005B415D" w:rsidP="005B415D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 xml:space="preserve">Identify and flag billing discrepancies </w:t>
      </w:r>
      <w:r w:rsidR="00DD4220">
        <w:rPr>
          <w:color w:val="000000" w:themeColor="text1"/>
        </w:rPr>
        <w:t>for</w:t>
      </w:r>
      <w:r w:rsidR="00DD4220" w:rsidRPr="00874279">
        <w:rPr>
          <w:color w:val="000000" w:themeColor="text1"/>
        </w:rPr>
        <w:t xml:space="preserve"> </w:t>
      </w:r>
      <w:r w:rsidRPr="00874279">
        <w:rPr>
          <w:color w:val="000000" w:themeColor="text1"/>
        </w:rPr>
        <w:t xml:space="preserve">sites </w:t>
      </w:r>
    </w:p>
    <w:p w14:paraId="3D0F63CD" w14:textId="3988F79C" w:rsidR="005B415D" w:rsidRPr="005B415D" w:rsidRDefault="005B415D" w:rsidP="005B415D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>Support investigation and resolution of issues to ensure accurate income collection</w:t>
      </w:r>
    </w:p>
    <w:p w14:paraId="1B883674" w14:textId="77777777" w:rsidR="005B415D" w:rsidRPr="006E7F17" w:rsidRDefault="005B415D" w:rsidP="006E7F17">
      <w:pPr>
        <w:pStyle w:val="ListParagraph"/>
        <w:spacing w:after="0" w:line="240" w:lineRule="auto"/>
        <w:ind w:left="714"/>
        <w:rPr>
          <w:color w:val="000000" w:themeColor="text1"/>
        </w:rPr>
      </w:pPr>
    </w:p>
    <w:p w14:paraId="383C636A" w14:textId="7949A261" w:rsidR="006910FD" w:rsidRPr="006A3D42" w:rsidRDefault="00874279" w:rsidP="003B464C">
      <w:pPr>
        <w:spacing w:after="120" w:line="240" w:lineRule="auto"/>
        <w:rPr>
          <w:b/>
          <w:bCs/>
        </w:rPr>
      </w:pPr>
      <w:r>
        <w:rPr>
          <w:b/>
          <w:bCs/>
        </w:rPr>
        <w:t>Cashflow and Treasury Management</w:t>
      </w:r>
    </w:p>
    <w:p w14:paraId="74EADDE8" w14:textId="315439F6" w:rsidR="00874279" w:rsidRDefault="00874279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>Manage cashflow and maintain accurate cashflow forecasts</w:t>
      </w:r>
      <w:r w:rsidR="005B415D">
        <w:rPr>
          <w:color w:val="000000" w:themeColor="text1"/>
        </w:rPr>
        <w:t xml:space="preserve"> </w:t>
      </w:r>
    </w:p>
    <w:p w14:paraId="5A621402" w14:textId="370C173D" w:rsidR="005B415D" w:rsidRPr="00874279" w:rsidRDefault="005B415D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Reconcile bank accounts </w:t>
      </w:r>
      <w:r w:rsidR="00DD4220">
        <w:rPr>
          <w:color w:val="000000" w:themeColor="text1"/>
        </w:rPr>
        <w:t xml:space="preserve">fortnightly </w:t>
      </w:r>
      <w:r>
        <w:rPr>
          <w:color w:val="000000" w:themeColor="text1"/>
        </w:rPr>
        <w:t xml:space="preserve">and track cash movements </w:t>
      </w:r>
    </w:p>
    <w:p w14:paraId="6C519A68" w14:textId="3D9E32E5" w:rsidR="00DD4220" w:rsidRDefault="005B415D" w:rsidP="00DD4220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Monitor invoicing timeliness and payments disbursements to support effective cashflow management  </w:t>
      </w:r>
    </w:p>
    <w:p w14:paraId="75F6E279" w14:textId="77777777" w:rsidR="00DD4220" w:rsidRPr="00E26F06" w:rsidRDefault="00DD4220" w:rsidP="00E26F06">
      <w:pPr>
        <w:spacing w:after="0" w:line="240" w:lineRule="auto"/>
        <w:ind w:left="357"/>
        <w:rPr>
          <w:color w:val="000000" w:themeColor="text1"/>
        </w:rPr>
      </w:pPr>
    </w:p>
    <w:p w14:paraId="1745A29D" w14:textId="62A4C387" w:rsidR="006F627F" w:rsidRDefault="00874279" w:rsidP="00EC2A92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Performance Monitoring </w:t>
      </w:r>
      <w:r w:rsidR="0095278C">
        <w:rPr>
          <w:b/>
          <w:bCs/>
          <w:color w:val="000000" w:themeColor="text1"/>
        </w:rPr>
        <w:t xml:space="preserve">and Financial Modelling </w:t>
      </w:r>
    </w:p>
    <w:p w14:paraId="786304C2" w14:textId="70DE353D" w:rsidR="00874279" w:rsidRPr="00874279" w:rsidRDefault="00DD4220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Liaise with the Asset Management Team to t</w:t>
      </w:r>
      <w:r w:rsidR="00874279" w:rsidRPr="00874279">
        <w:rPr>
          <w:color w:val="000000" w:themeColor="text1"/>
        </w:rPr>
        <w:t xml:space="preserve">rack financial performance of </w:t>
      </w:r>
      <w:r w:rsidR="005B415D">
        <w:rPr>
          <w:color w:val="000000" w:themeColor="text1"/>
        </w:rPr>
        <w:t xml:space="preserve">solar </w:t>
      </w:r>
      <w:r w:rsidR="00874279" w:rsidRPr="00874279">
        <w:rPr>
          <w:color w:val="000000" w:themeColor="text1"/>
        </w:rPr>
        <w:t xml:space="preserve">sites and projects against </w:t>
      </w:r>
      <w:r>
        <w:rPr>
          <w:color w:val="000000" w:themeColor="text1"/>
        </w:rPr>
        <w:t>forecasts</w:t>
      </w:r>
      <w:r w:rsidRPr="00874279">
        <w:rPr>
          <w:color w:val="000000" w:themeColor="text1"/>
        </w:rPr>
        <w:t xml:space="preserve"> </w:t>
      </w:r>
    </w:p>
    <w:p w14:paraId="09BA9106" w14:textId="65EE0BCD" w:rsidR="00874279" w:rsidRDefault="00874279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>Support analysis of income and expenditure, highlighting risks and opportunities</w:t>
      </w:r>
    </w:p>
    <w:p w14:paraId="784797AD" w14:textId="0141A525" w:rsidR="0095278C" w:rsidRDefault="0095278C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Assist in pricing of electricity for new sites and checking financial assumptions and modelling </w:t>
      </w:r>
    </w:p>
    <w:p w14:paraId="70E4216E" w14:textId="77777777" w:rsidR="00874279" w:rsidRPr="00874279" w:rsidRDefault="00874279" w:rsidP="00874279">
      <w:pPr>
        <w:pStyle w:val="ListParagraph"/>
        <w:spacing w:after="0" w:line="240" w:lineRule="auto"/>
        <w:ind w:left="714"/>
        <w:rPr>
          <w:color w:val="000000" w:themeColor="text1"/>
        </w:rPr>
      </w:pPr>
    </w:p>
    <w:p w14:paraId="196E8C77" w14:textId="26C54736" w:rsidR="005624AD" w:rsidRPr="003B464C" w:rsidRDefault="00874279" w:rsidP="00EC2A92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External Finance Coordination</w:t>
      </w:r>
    </w:p>
    <w:p w14:paraId="1BC05B55" w14:textId="6099E049" w:rsidR="00874279" w:rsidRPr="00874279" w:rsidRDefault="00C81160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Work effectively </w:t>
      </w:r>
      <w:r w:rsidR="005B415D">
        <w:rPr>
          <w:color w:val="000000" w:themeColor="text1"/>
        </w:rPr>
        <w:t>with</w:t>
      </w:r>
      <w:r w:rsidR="00874279" w:rsidRPr="00874279">
        <w:rPr>
          <w:color w:val="000000" w:themeColor="text1"/>
        </w:rPr>
        <w:t xml:space="preserve"> </w:t>
      </w:r>
      <w:r w:rsidR="0096723C" w:rsidRPr="00874279">
        <w:rPr>
          <w:color w:val="000000" w:themeColor="text1"/>
        </w:rPr>
        <w:t>Share</w:t>
      </w:r>
      <w:r w:rsidR="0096723C">
        <w:rPr>
          <w:color w:val="000000" w:themeColor="text1"/>
        </w:rPr>
        <w:t xml:space="preserve"> </w:t>
      </w:r>
      <w:r w:rsidR="0096723C" w:rsidRPr="00874279">
        <w:rPr>
          <w:color w:val="000000" w:themeColor="text1"/>
        </w:rPr>
        <w:t>energy</w:t>
      </w:r>
      <w:r w:rsidR="00874279" w:rsidRPr="00874279">
        <w:rPr>
          <w:color w:val="000000" w:themeColor="text1"/>
        </w:rPr>
        <w:t xml:space="preserve"> (</w:t>
      </w:r>
      <w:r w:rsidR="00DD4220">
        <w:rPr>
          <w:color w:val="000000" w:themeColor="text1"/>
        </w:rPr>
        <w:t>Power Up North London</w:t>
      </w:r>
      <w:r w:rsidR="00874279" w:rsidRPr="00874279">
        <w:rPr>
          <w:color w:val="000000" w:themeColor="text1"/>
        </w:rPr>
        <w:t>’s outsourced finance provider)</w:t>
      </w:r>
    </w:p>
    <w:p w14:paraId="3D7C97B5" w14:textId="307836C9" w:rsidR="00874279" w:rsidRDefault="00874279" w:rsidP="0087427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 w:rsidRPr="00874279">
        <w:rPr>
          <w:color w:val="000000" w:themeColor="text1"/>
        </w:rPr>
        <w:t xml:space="preserve">Liaise on accounting, reporting, and financial queries, ensuring timely resolution </w:t>
      </w:r>
    </w:p>
    <w:p w14:paraId="5D7150A7" w14:textId="145208B4" w:rsidR="00874279" w:rsidRDefault="00740878" w:rsidP="00C81160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Monitor fulfilment of</w:t>
      </w:r>
      <w:r w:rsidR="00C81160">
        <w:rPr>
          <w:color w:val="000000" w:themeColor="text1"/>
        </w:rPr>
        <w:t xml:space="preserve"> service level </w:t>
      </w:r>
      <w:r>
        <w:rPr>
          <w:color w:val="000000" w:themeColor="text1"/>
        </w:rPr>
        <w:t xml:space="preserve">agreements </w:t>
      </w:r>
      <w:r w:rsidR="00C81160">
        <w:rPr>
          <w:color w:val="000000" w:themeColor="text1"/>
        </w:rPr>
        <w:t xml:space="preserve"> </w:t>
      </w:r>
    </w:p>
    <w:p w14:paraId="3194CECE" w14:textId="77777777" w:rsidR="00C81160" w:rsidRPr="00C81160" w:rsidRDefault="00C81160" w:rsidP="00C81160">
      <w:pPr>
        <w:pStyle w:val="ListParagraph"/>
        <w:spacing w:after="0" w:line="240" w:lineRule="auto"/>
        <w:ind w:left="714"/>
        <w:rPr>
          <w:color w:val="000000" w:themeColor="text1"/>
        </w:rPr>
      </w:pPr>
    </w:p>
    <w:p w14:paraId="30CEA538" w14:textId="3D7F6A8F" w:rsidR="006E7F17" w:rsidRDefault="006E7F17" w:rsidP="006E7F17">
      <w:pPr>
        <w:spacing w:before="120"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Financial Controls </w:t>
      </w:r>
    </w:p>
    <w:p w14:paraId="387D6A8C" w14:textId="6F7E7054" w:rsidR="00C81160" w:rsidRDefault="009974C9" w:rsidP="00C81160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Ensure</w:t>
      </w:r>
      <w:r w:rsidR="00C81160">
        <w:rPr>
          <w:color w:val="000000" w:themeColor="text1"/>
        </w:rPr>
        <w:t xml:space="preserve"> adherence </w:t>
      </w:r>
      <w:r>
        <w:rPr>
          <w:color w:val="000000" w:themeColor="text1"/>
        </w:rPr>
        <w:t>with</w:t>
      </w:r>
      <w:r w:rsidR="00C81160">
        <w:rPr>
          <w:color w:val="000000" w:themeColor="text1"/>
        </w:rPr>
        <w:t xml:space="preserve"> </w:t>
      </w:r>
      <w:r w:rsidR="00DD4220">
        <w:rPr>
          <w:color w:val="000000" w:themeColor="text1"/>
        </w:rPr>
        <w:t>Power Up North London</w:t>
      </w:r>
      <w:r w:rsidR="00C81160">
        <w:rPr>
          <w:color w:val="000000" w:themeColor="text1"/>
        </w:rPr>
        <w:t xml:space="preserve">’s financial processes and controls </w:t>
      </w:r>
    </w:p>
    <w:p w14:paraId="55339F91" w14:textId="03FC2C39" w:rsidR="00C81160" w:rsidRDefault="009974C9" w:rsidP="009974C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Implement controls relevant to payments in / out, grants management and bank reconciliations</w:t>
      </w:r>
    </w:p>
    <w:p w14:paraId="7C3941BF" w14:textId="77777777" w:rsidR="009974C9" w:rsidRPr="009974C9" w:rsidRDefault="009974C9" w:rsidP="009974C9">
      <w:pPr>
        <w:pStyle w:val="ListParagraph"/>
        <w:spacing w:after="0" w:line="240" w:lineRule="auto"/>
        <w:ind w:left="714"/>
        <w:rPr>
          <w:color w:val="000000" w:themeColor="text1"/>
        </w:rPr>
      </w:pPr>
    </w:p>
    <w:p w14:paraId="76512899" w14:textId="332E152F" w:rsidR="00C81160" w:rsidRDefault="00C81160" w:rsidP="006E7F17">
      <w:pPr>
        <w:spacing w:before="120"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Shareholder </w:t>
      </w:r>
      <w:r w:rsidR="0095278C">
        <w:rPr>
          <w:b/>
          <w:bCs/>
          <w:color w:val="000000" w:themeColor="text1"/>
        </w:rPr>
        <w:t xml:space="preserve">Register Maintenance </w:t>
      </w:r>
      <w:r>
        <w:rPr>
          <w:b/>
          <w:bCs/>
          <w:color w:val="000000" w:themeColor="text1"/>
        </w:rPr>
        <w:t xml:space="preserve"> </w:t>
      </w:r>
    </w:p>
    <w:p w14:paraId="40770815" w14:textId="0E349848" w:rsidR="009974C9" w:rsidRDefault="009974C9" w:rsidP="009974C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Maintain internal record of shareholder capital outstanding and member capital and interest payments due </w:t>
      </w:r>
    </w:p>
    <w:p w14:paraId="12C2ACA5" w14:textId="59837349" w:rsidR="009974C9" w:rsidRDefault="009974C9" w:rsidP="009974C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Update shareholder register for shareholder actions, redemptions, and new issuances </w:t>
      </w:r>
    </w:p>
    <w:p w14:paraId="19A08E8F" w14:textId="77777777" w:rsidR="00874279" w:rsidRDefault="00874279" w:rsidP="00874279">
      <w:pPr>
        <w:pBdr>
          <w:bottom w:val="single" w:sz="4" w:space="8" w:color="auto"/>
        </w:pBdr>
        <w:spacing w:after="120" w:line="240" w:lineRule="auto"/>
      </w:pPr>
    </w:p>
    <w:p w14:paraId="5ECEBEA3" w14:textId="77777777" w:rsidR="00F14F39" w:rsidRPr="005E2B0F" w:rsidRDefault="00F14F39" w:rsidP="005E2B0F">
      <w:pPr>
        <w:spacing w:after="120" w:line="240" w:lineRule="auto"/>
        <w:rPr>
          <w:b/>
          <w:bCs/>
          <w:sz w:val="28"/>
          <w:szCs w:val="28"/>
        </w:rPr>
      </w:pPr>
      <w:r w:rsidRPr="005E2B0F">
        <w:rPr>
          <w:b/>
          <w:bCs/>
          <w:sz w:val="28"/>
          <w:szCs w:val="28"/>
        </w:rPr>
        <w:t>Funding context</w:t>
      </w:r>
    </w:p>
    <w:p w14:paraId="1EA8DBC3" w14:textId="0A3E44A9" w:rsidR="008507BC" w:rsidRPr="00F14F39" w:rsidRDefault="00384DFF" w:rsidP="003305B5">
      <w:pPr>
        <w:pBdr>
          <w:bottom w:val="single" w:sz="4" w:space="7" w:color="auto"/>
        </w:pBdr>
        <w:spacing w:line="240" w:lineRule="auto"/>
      </w:pPr>
      <w:r>
        <w:t>This</w:t>
      </w:r>
      <w:r w:rsidR="00F14F39" w:rsidRPr="00F14F39">
        <w:t xml:space="preserve"> role is funded in part by a National Lottery Community Fund grant </w:t>
      </w:r>
      <w:r>
        <w:t xml:space="preserve">and </w:t>
      </w:r>
      <w:r w:rsidR="00C81160">
        <w:t xml:space="preserve">in part through </w:t>
      </w:r>
      <w:r w:rsidR="00DD4220">
        <w:rPr>
          <w:color w:val="000000" w:themeColor="text1"/>
        </w:rPr>
        <w:t xml:space="preserve">Power Up North London’s </w:t>
      </w:r>
      <w:r>
        <w:t xml:space="preserve">earned income </w:t>
      </w:r>
      <w:r w:rsidR="00DD4220">
        <w:t xml:space="preserve">from </w:t>
      </w:r>
      <w:r>
        <w:t>the delivery of solar</w:t>
      </w:r>
      <w:r w:rsidR="00DD4220">
        <w:t>,</w:t>
      </w:r>
      <w:r w:rsidR="0096723C">
        <w:t xml:space="preserve"> </w:t>
      </w:r>
      <w:r>
        <w:t xml:space="preserve">retrofit </w:t>
      </w:r>
      <w:r w:rsidR="00DD4220">
        <w:t xml:space="preserve">and energy advice/training </w:t>
      </w:r>
      <w:r>
        <w:t xml:space="preserve">projects that generate project management fees. </w:t>
      </w:r>
    </w:p>
    <w:p w14:paraId="307C630E" w14:textId="0D447607" w:rsidR="00E201C8" w:rsidRDefault="00E201C8" w:rsidP="008507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C35D12A" w14:textId="66D8FB80" w:rsidR="00F744FA" w:rsidRPr="00D43DC7" w:rsidRDefault="00EA03D8" w:rsidP="00D43DC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Finance Administrator</w:t>
      </w:r>
      <w:r w:rsidR="00D43DC7" w:rsidRPr="00D43DC7">
        <w:rPr>
          <w:b/>
          <w:bCs/>
          <w:sz w:val="32"/>
          <w:szCs w:val="32"/>
        </w:rPr>
        <w:t xml:space="preserve"> - </w:t>
      </w:r>
      <w:r w:rsidR="00F744FA" w:rsidRPr="00D43DC7">
        <w:rPr>
          <w:b/>
          <w:bCs/>
          <w:sz w:val="32"/>
          <w:szCs w:val="32"/>
        </w:rPr>
        <w:t>Person Specification</w:t>
      </w:r>
    </w:p>
    <w:p w14:paraId="78850188" w14:textId="32327D01" w:rsidR="00F744FA" w:rsidRPr="00026C88" w:rsidRDefault="0083390E" w:rsidP="00026C88">
      <w:pPr>
        <w:spacing w:before="120" w:after="120" w:line="240" w:lineRule="auto"/>
        <w:rPr>
          <w:b/>
          <w:bCs/>
        </w:rPr>
      </w:pPr>
      <w:r w:rsidRPr="00026C88">
        <w:rPr>
          <w:b/>
          <w:bCs/>
        </w:rPr>
        <w:t xml:space="preserve">Essential </w:t>
      </w:r>
      <w:r w:rsidR="002B7EA0">
        <w:rPr>
          <w:b/>
          <w:bCs/>
        </w:rPr>
        <w:t>experience</w:t>
      </w:r>
    </w:p>
    <w:p w14:paraId="06B59E3C" w14:textId="5FDA312C" w:rsidR="00874279" w:rsidRPr="00874279" w:rsidRDefault="00874279" w:rsidP="00874279">
      <w:pPr>
        <w:pStyle w:val="ListParagraph"/>
        <w:numPr>
          <w:ilvl w:val="0"/>
          <w:numId w:val="10"/>
        </w:numPr>
        <w:spacing w:after="0" w:line="240" w:lineRule="auto"/>
      </w:pPr>
      <w:r w:rsidRPr="00874279">
        <w:t xml:space="preserve">Experience in a finance or accounting role, with responsibility for financial reporting and budget tracking </w:t>
      </w:r>
    </w:p>
    <w:p w14:paraId="00840F56" w14:textId="1D8646F7" w:rsidR="00874279" w:rsidRPr="00874279" w:rsidRDefault="00874279" w:rsidP="00874279">
      <w:pPr>
        <w:pStyle w:val="ListParagraph"/>
        <w:numPr>
          <w:ilvl w:val="0"/>
          <w:numId w:val="10"/>
        </w:numPr>
        <w:spacing w:after="0" w:line="240" w:lineRule="auto"/>
      </w:pPr>
      <w:r w:rsidRPr="00874279">
        <w:t xml:space="preserve">Experience preparing or supporting management accounts </w:t>
      </w:r>
    </w:p>
    <w:p w14:paraId="654CF7CF" w14:textId="124AAC90" w:rsidR="00874279" w:rsidRPr="00874279" w:rsidRDefault="00874279" w:rsidP="00874279">
      <w:pPr>
        <w:pStyle w:val="ListParagraph"/>
        <w:numPr>
          <w:ilvl w:val="0"/>
          <w:numId w:val="10"/>
        </w:numPr>
        <w:spacing w:after="0" w:line="240" w:lineRule="auto"/>
      </w:pPr>
      <w:r w:rsidRPr="00874279">
        <w:t>Experience working with external finance providers or accountants</w:t>
      </w:r>
    </w:p>
    <w:p w14:paraId="52746DBF" w14:textId="70E7F1D3" w:rsidR="00040A1A" w:rsidRPr="00026C88" w:rsidRDefault="00364D3D" w:rsidP="00026C88">
      <w:pPr>
        <w:spacing w:before="120" w:after="120" w:line="240" w:lineRule="auto"/>
        <w:rPr>
          <w:b/>
          <w:bCs/>
        </w:rPr>
      </w:pPr>
      <w:r w:rsidRPr="00026C88">
        <w:rPr>
          <w:b/>
          <w:bCs/>
        </w:rPr>
        <w:t>Essential knowledge and skills</w:t>
      </w:r>
    </w:p>
    <w:p w14:paraId="6655833F" w14:textId="5600750F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Strong financial and numerical skills, with high attention to detail </w:t>
      </w:r>
    </w:p>
    <w:p w14:paraId="7998E518" w14:textId="64C05E85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Ability to analyse financial data and clearly communicate insights </w:t>
      </w:r>
    </w:p>
    <w:p w14:paraId="7999C86B" w14:textId="2D1CD6E6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Experience with budgeting, forecasting, and variance analysis </w:t>
      </w:r>
    </w:p>
    <w:p w14:paraId="1BAAB712" w14:textId="318F5E29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Strong organisational skills, with the ability to manage multiple priorities </w:t>
      </w:r>
    </w:p>
    <w:p w14:paraId="7F3DED4D" w14:textId="29E30570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Confident working with spreadsheets and financial systems </w:t>
      </w:r>
    </w:p>
    <w:p w14:paraId="05C592EB" w14:textId="4762F894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>Clear written and verbal communication skills</w:t>
      </w:r>
    </w:p>
    <w:p w14:paraId="0EB79A2E" w14:textId="4123E6F8" w:rsidR="00B941DD" w:rsidRPr="00026C88" w:rsidRDefault="00006788" w:rsidP="00026C88">
      <w:pPr>
        <w:spacing w:before="120" w:after="120" w:line="240" w:lineRule="auto"/>
        <w:rPr>
          <w:b/>
          <w:bCs/>
        </w:rPr>
      </w:pPr>
      <w:r w:rsidRPr="00026C88">
        <w:rPr>
          <w:b/>
          <w:bCs/>
        </w:rPr>
        <w:t>Desirable Experience and Knowledge</w:t>
      </w:r>
    </w:p>
    <w:p w14:paraId="3D9D1BFF" w14:textId="029D72D0" w:rsidR="0095278C" w:rsidRDefault="0095278C" w:rsidP="00EA03D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Part qualified or qualified accountant </w:t>
      </w:r>
    </w:p>
    <w:p w14:paraId="4379D25C" w14:textId="4F4C4FC5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Experience in the community energy, sustainability, or not-for-profit sector </w:t>
      </w:r>
    </w:p>
    <w:p w14:paraId="3387DD14" w14:textId="3163DCD6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Experience with project-based financial tracking or multi-site income models </w:t>
      </w:r>
    </w:p>
    <w:p w14:paraId="7E3910F1" w14:textId="5224D21D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>Familiarity with energy pricing or financial modelling</w:t>
      </w:r>
    </w:p>
    <w:p w14:paraId="106C053D" w14:textId="5E82569E" w:rsidR="008B43AA" w:rsidRPr="00026C88" w:rsidRDefault="008B43AA" w:rsidP="00607B2F">
      <w:pPr>
        <w:spacing w:before="120" w:after="120" w:line="240" w:lineRule="auto"/>
        <w:rPr>
          <w:b/>
          <w:bCs/>
        </w:rPr>
      </w:pPr>
      <w:r w:rsidRPr="00026C88">
        <w:rPr>
          <w:b/>
          <w:bCs/>
        </w:rPr>
        <w:t>Personal Attributes</w:t>
      </w:r>
    </w:p>
    <w:p w14:paraId="26A21AF8" w14:textId="7A0FBFB1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Highly organised and methodical </w:t>
      </w:r>
    </w:p>
    <w:p w14:paraId="33F17423" w14:textId="51D1030D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Proactive, with the ability to identify and resolve issues independently </w:t>
      </w:r>
    </w:p>
    <w:p w14:paraId="51012699" w14:textId="0818DA5A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Strong integrity and commitment to financial accuracy </w:t>
      </w:r>
    </w:p>
    <w:p w14:paraId="3432AB27" w14:textId="4331394E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 xml:space="preserve">Able to work collaboratively with internal and external stakeholders </w:t>
      </w:r>
    </w:p>
    <w:p w14:paraId="16DCBC68" w14:textId="60F03E86" w:rsidR="00EA03D8" w:rsidRPr="00EA03D8" w:rsidRDefault="00EA03D8" w:rsidP="00EA03D8">
      <w:pPr>
        <w:pStyle w:val="ListParagraph"/>
        <w:numPr>
          <w:ilvl w:val="0"/>
          <w:numId w:val="10"/>
        </w:numPr>
        <w:spacing w:after="0" w:line="240" w:lineRule="auto"/>
      </w:pPr>
      <w:r w:rsidRPr="00EA03D8">
        <w:t>Motivated by social and environmental impact</w:t>
      </w:r>
    </w:p>
    <w:p w14:paraId="055BA761" w14:textId="6D4A4B5C" w:rsidR="006E7F17" w:rsidRPr="0095278C" w:rsidRDefault="006E7F17" w:rsidP="0095278C">
      <w:pPr>
        <w:spacing w:after="0" w:line="240" w:lineRule="auto"/>
        <w:rPr>
          <w:color w:val="FF0000"/>
        </w:rPr>
      </w:pPr>
    </w:p>
    <w:sectPr w:rsidR="006E7F17" w:rsidRPr="0095278C" w:rsidSect="00596D86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401F" w14:textId="77777777" w:rsidR="000A7A7D" w:rsidRDefault="000A7A7D" w:rsidP="007944F3">
      <w:pPr>
        <w:spacing w:after="0" w:line="240" w:lineRule="auto"/>
      </w:pPr>
      <w:r>
        <w:separator/>
      </w:r>
    </w:p>
  </w:endnote>
  <w:endnote w:type="continuationSeparator" w:id="0">
    <w:p w14:paraId="166FC95D" w14:textId="77777777" w:rsidR="000A7A7D" w:rsidRDefault="000A7A7D" w:rsidP="0079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9238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3D14A0" w14:textId="62A092CD" w:rsidR="00435FF5" w:rsidRDefault="00435FF5" w:rsidP="000774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D804CD" w14:textId="77777777" w:rsidR="00435FF5" w:rsidRDefault="00435FF5" w:rsidP="00435F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38432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D2F359" w14:textId="57454489" w:rsidR="00435FF5" w:rsidRDefault="00435FF5" w:rsidP="000774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CBCF0C" w14:textId="77777777" w:rsidR="00435FF5" w:rsidRDefault="00435FF5" w:rsidP="00435F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14DB" w14:textId="77777777" w:rsidR="000A7A7D" w:rsidRDefault="000A7A7D" w:rsidP="007944F3">
      <w:pPr>
        <w:spacing w:after="0" w:line="240" w:lineRule="auto"/>
      </w:pPr>
      <w:r>
        <w:separator/>
      </w:r>
    </w:p>
  </w:footnote>
  <w:footnote w:type="continuationSeparator" w:id="0">
    <w:p w14:paraId="30E9C67D" w14:textId="77777777" w:rsidR="000A7A7D" w:rsidRDefault="000A7A7D" w:rsidP="0079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ED77" w14:textId="253A3201" w:rsidR="00596D86" w:rsidRPr="00596D86" w:rsidRDefault="00596D86" w:rsidP="00596D86">
    <w:pPr>
      <w:pStyle w:val="Header"/>
    </w:pPr>
    <w:r w:rsidRPr="006F7AB4">
      <w:rPr>
        <w:rFonts w:ascii="Arial" w:eastAsia="Arial" w:hAnsi="Arial" w:cs="Arial"/>
        <w:noProof/>
        <w:kern w:val="0"/>
        <w:sz w:val="22"/>
        <w:szCs w:val="22"/>
        <w:lang w:eastAsia="en-GB"/>
        <w14:ligatures w14:val="none"/>
      </w:rPr>
      <w:drawing>
        <wp:anchor distT="0" distB="0" distL="114300" distR="114300" simplePos="0" relativeHeight="251659264" behindDoc="0" locked="0" layoutInCell="1" allowOverlap="1" wp14:anchorId="449D24E2" wp14:editId="50E38152">
          <wp:simplePos x="0" y="0"/>
          <wp:positionH relativeFrom="column">
            <wp:posOffset>1390650</wp:posOffset>
          </wp:positionH>
          <wp:positionV relativeFrom="paragraph">
            <wp:posOffset>-451485</wp:posOffset>
          </wp:positionV>
          <wp:extent cx="2766695" cy="1369695"/>
          <wp:effectExtent l="0" t="0" r="0" b="1905"/>
          <wp:wrapTopAndBottom/>
          <wp:docPr id="1" name="image1.jpg" descr="A black text with a su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black text with a sun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6695" cy="1369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029"/>
    <w:multiLevelType w:val="hybridMultilevel"/>
    <w:tmpl w:val="70A03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5FB"/>
    <w:multiLevelType w:val="hybridMultilevel"/>
    <w:tmpl w:val="A1326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3C8"/>
    <w:multiLevelType w:val="hybridMultilevel"/>
    <w:tmpl w:val="12FCBB0E"/>
    <w:lvl w:ilvl="0" w:tplc="0CB263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E7D"/>
    <w:multiLevelType w:val="hybridMultilevel"/>
    <w:tmpl w:val="8C54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4153"/>
    <w:multiLevelType w:val="hybridMultilevel"/>
    <w:tmpl w:val="AD8A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206"/>
    <w:multiLevelType w:val="hybridMultilevel"/>
    <w:tmpl w:val="0042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44DA9"/>
    <w:multiLevelType w:val="hybridMultilevel"/>
    <w:tmpl w:val="418E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129C"/>
    <w:multiLevelType w:val="hybridMultilevel"/>
    <w:tmpl w:val="4CFA8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3F9E"/>
    <w:multiLevelType w:val="hybridMultilevel"/>
    <w:tmpl w:val="841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791C"/>
    <w:multiLevelType w:val="hybridMultilevel"/>
    <w:tmpl w:val="E5E6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01BF6"/>
    <w:multiLevelType w:val="hybridMultilevel"/>
    <w:tmpl w:val="A26E0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013D5"/>
    <w:multiLevelType w:val="hybridMultilevel"/>
    <w:tmpl w:val="E7BA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264A3"/>
    <w:multiLevelType w:val="hybridMultilevel"/>
    <w:tmpl w:val="177E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A00FB"/>
    <w:multiLevelType w:val="hybridMultilevel"/>
    <w:tmpl w:val="A7B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58"/>
    <w:rsid w:val="00006788"/>
    <w:rsid w:val="0001024A"/>
    <w:rsid w:val="00015B9F"/>
    <w:rsid w:val="00021258"/>
    <w:rsid w:val="000231FF"/>
    <w:rsid w:val="00026C88"/>
    <w:rsid w:val="00030F9F"/>
    <w:rsid w:val="000318D4"/>
    <w:rsid w:val="00034D75"/>
    <w:rsid w:val="00040A1A"/>
    <w:rsid w:val="000466F6"/>
    <w:rsid w:val="00071655"/>
    <w:rsid w:val="000803F2"/>
    <w:rsid w:val="000A581B"/>
    <w:rsid w:val="000A7A7D"/>
    <w:rsid w:val="000B4454"/>
    <w:rsid w:val="000D09B3"/>
    <w:rsid w:val="000E19BD"/>
    <w:rsid w:val="00101FE8"/>
    <w:rsid w:val="001025D4"/>
    <w:rsid w:val="00102F43"/>
    <w:rsid w:val="00105931"/>
    <w:rsid w:val="00105AD8"/>
    <w:rsid w:val="001063F0"/>
    <w:rsid w:val="00112FA3"/>
    <w:rsid w:val="00113AE4"/>
    <w:rsid w:val="00113D4C"/>
    <w:rsid w:val="00114BEF"/>
    <w:rsid w:val="00122A1B"/>
    <w:rsid w:val="00124A44"/>
    <w:rsid w:val="00127932"/>
    <w:rsid w:val="00130D58"/>
    <w:rsid w:val="00144A6A"/>
    <w:rsid w:val="00146F64"/>
    <w:rsid w:val="0014750A"/>
    <w:rsid w:val="001651DB"/>
    <w:rsid w:val="001652A0"/>
    <w:rsid w:val="001737F6"/>
    <w:rsid w:val="00173C30"/>
    <w:rsid w:val="00177A1C"/>
    <w:rsid w:val="001840E0"/>
    <w:rsid w:val="00192F29"/>
    <w:rsid w:val="00194200"/>
    <w:rsid w:val="00196090"/>
    <w:rsid w:val="001C22BB"/>
    <w:rsid w:val="001C7D41"/>
    <w:rsid w:val="001D6102"/>
    <w:rsid w:val="001F587E"/>
    <w:rsid w:val="002006FB"/>
    <w:rsid w:val="002034C2"/>
    <w:rsid w:val="00206114"/>
    <w:rsid w:val="00210787"/>
    <w:rsid w:val="002115C3"/>
    <w:rsid w:val="00212CA5"/>
    <w:rsid w:val="00214AE7"/>
    <w:rsid w:val="00221571"/>
    <w:rsid w:val="00226253"/>
    <w:rsid w:val="00233FFC"/>
    <w:rsid w:val="00242118"/>
    <w:rsid w:val="00244B3C"/>
    <w:rsid w:val="00245AF2"/>
    <w:rsid w:val="00247817"/>
    <w:rsid w:val="002560FF"/>
    <w:rsid w:val="002618A7"/>
    <w:rsid w:val="00275543"/>
    <w:rsid w:val="0028061A"/>
    <w:rsid w:val="00284824"/>
    <w:rsid w:val="00294B9B"/>
    <w:rsid w:val="002A2B70"/>
    <w:rsid w:val="002B08E0"/>
    <w:rsid w:val="002B3968"/>
    <w:rsid w:val="002B44E4"/>
    <w:rsid w:val="002B74CD"/>
    <w:rsid w:val="002B7EA0"/>
    <w:rsid w:val="002D273C"/>
    <w:rsid w:val="002D4553"/>
    <w:rsid w:val="002E636C"/>
    <w:rsid w:val="002F61B4"/>
    <w:rsid w:val="002F7C7E"/>
    <w:rsid w:val="003005CC"/>
    <w:rsid w:val="00302948"/>
    <w:rsid w:val="00315BB6"/>
    <w:rsid w:val="00321592"/>
    <w:rsid w:val="00323D37"/>
    <w:rsid w:val="003305B5"/>
    <w:rsid w:val="003402F7"/>
    <w:rsid w:val="003422D6"/>
    <w:rsid w:val="003456ED"/>
    <w:rsid w:val="00350C90"/>
    <w:rsid w:val="00360D99"/>
    <w:rsid w:val="0036331C"/>
    <w:rsid w:val="00364D3D"/>
    <w:rsid w:val="00371E3B"/>
    <w:rsid w:val="003762D6"/>
    <w:rsid w:val="00376717"/>
    <w:rsid w:val="0037782B"/>
    <w:rsid w:val="0037798C"/>
    <w:rsid w:val="00384DFF"/>
    <w:rsid w:val="00390BAC"/>
    <w:rsid w:val="003A1B81"/>
    <w:rsid w:val="003A3477"/>
    <w:rsid w:val="003B10CA"/>
    <w:rsid w:val="003B464C"/>
    <w:rsid w:val="003C6CB1"/>
    <w:rsid w:val="003D3248"/>
    <w:rsid w:val="003E2E22"/>
    <w:rsid w:val="004210F5"/>
    <w:rsid w:val="00421A1E"/>
    <w:rsid w:val="00427FE0"/>
    <w:rsid w:val="004324A7"/>
    <w:rsid w:val="0043252A"/>
    <w:rsid w:val="00432C39"/>
    <w:rsid w:val="00435332"/>
    <w:rsid w:val="00435FF5"/>
    <w:rsid w:val="004402F4"/>
    <w:rsid w:val="0046080C"/>
    <w:rsid w:val="00467C87"/>
    <w:rsid w:val="00470045"/>
    <w:rsid w:val="00474BD4"/>
    <w:rsid w:val="00486D5B"/>
    <w:rsid w:val="004A1BB2"/>
    <w:rsid w:val="004A5E86"/>
    <w:rsid w:val="004C2912"/>
    <w:rsid w:val="004D3C22"/>
    <w:rsid w:val="004D7E1B"/>
    <w:rsid w:val="004E7413"/>
    <w:rsid w:val="004F661E"/>
    <w:rsid w:val="005132FE"/>
    <w:rsid w:val="00514685"/>
    <w:rsid w:val="00515AC4"/>
    <w:rsid w:val="0052585A"/>
    <w:rsid w:val="005437AF"/>
    <w:rsid w:val="005507D3"/>
    <w:rsid w:val="00550EDB"/>
    <w:rsid w:val="005540B6"/>
    <w:rsid w:val="0055548C"/>
    <w:rsid w:val="0055581F"/>
    <w:rsid w:val="005574DF"/>
    <w:rsid w:val="00557B37"/>
    <w:rsid w:val="005624AD"/>
    <w:rsid w:val="00573DA8"/>
    <w:rsid w:val="005752FD"/>
    <w:rsid w:val="0057608F"/>
    <w:rsid w:val="00576483"/>
    <w:rsid w:val="00580544"/>
    <w:rsid w:val="005823D7"/>
    <w:rsid w:val="00587AD4"/>
    <w:rsid w:val="005937FE"/>
    <w:rsid w:val="0059662C"/>
    <w:rsid w:val="00596D86"/>
    <w:rsid w:val="005A308E"/>
    <w:rsid w:val="005B3F86"/>
    <w:rsid w:val="005B415D"/>
    <w:rsid w:val="005B4422"/>
    <w:rsid w:val="005B6631"/>
    <w:rsid w:val="005C2032"/>
    <w:rsid w:val="005C3F96"/>
    <w:rsid w:val="005C5487"/>
    <w:rsid w:val="005C640B"/>
    <w:rsid w:val="005E1AB4"/>
    <w:rsid w:val="005E2B0F"/>
    <w:rsid w:val="005E4C25"/>
    <w:rsid w:val="00602F55"/>
    <w:rsid w:val="00607B2F"/>
    <w:rsid w:val="00616A24"/>
    <w:rsid w:val="00616A7C"/>
    <w:rsid w:val="0062432E"/>
    <w:rsid w:val="00631EFD"/>
    <w:rsid w:val="00660497"/>
    <w:rsid w:val="00671C0E"/>
    <w:rsid w:val="006910FD"/>
    <w:rsid w:val="006A0671"/>
    <w:rsid w:val="006A317E"/>
    <w:rsid w:val="006A374F"/>
    <w:rsid w:val="006A3D42"/>
    <w:rsid w:val="006C2C50"/>
    <w:rsid w:val="006D0CCE"/>
    <w:rsid w:val="006D2886"/>
    <w:rsid w:val="006D3F9A"/>
    <w:rsid w:val="006D7FEA"/>
    <w:rsid w:val="006E7F17"/>
    <w:rsid w:val="006F129F"/>
    <w:rsid w:val="006F627F"/>
    <w:rsid w:val="006F72E2"/>
    <w:rsid w:val="006F7AB4"/>
    <w:rsid w:val="00706379"/>
    <w:rsid w:val="00724CF8"/>
    <w:rsid w:val="00724D3A"/>
    <w:rsid w:val="00735627"/>
    <w:rsid w:val="00740878"/>
    <w:rsid w:val="00745154"/>
    <w:rsid w:val="00751184"/>
    <w:rsid w:val="00765E60"/>
    <w:rsid w:val="00770B0F"/>
    <w:rsid w:val="00773D6A"/>
    <w:rsid w:val="00783A16"/>
    <w:rsid w:val="00783EA2"/>
    <w:rsid w:val="007902B7"/>
    <w:rsid w:val="00792DD4"/>
    <w:rsid w:val="00793A05"/>
    <w:rsid w:val="007944F3"/>
    <w:rsid w:val="007A0DC8"/>
    <w:rsid w:val="007A52B5"/>
    <w:rsid w:val="007B29B2"/>
    <w:rsid w:val="007C394E"/>
    <w:rsid w:val="007D4526"/>
    <w:rsid w:val="007E28FD"/>
    <w:rsid w:val="007E2B28"/>
    <w:rsid w:val="007E6CE1"/>
    <w:rsid w:val="00800A0D"/>
    <w:rsid w:val="00800D11"/>
    <w:rsid w:val="00811839"/>
    <w:rsid w:val="0082518F"/>
    <w:rsid w:val="0083390E"/>
    <w:rsid w:val="00834276"/>
    <w:rsid w:val="00842D47"/>
    <w:rsid w:val="00844B12"/>
    <w:rsid w:val="00845036"/>
    <w:rsid w:val="008507BC"/>
    <w:rsid w:val="00857165"/>
    <w:rsid w:val="00861FA6"/>
    <w:rsid w:val="00863518"/>
    <w:rsid w:val="00865D0A"/>
    <w:rsid w:val="00874279"/>
    <w:rsid w:val="00891999"/>
    <w:rsid w:val="00894B0F"/>
    <w:rsid w:val="008A1BFC"/>
    <w:rsid w:val="008B43AA"/>
    <w:rsid w:val="008D6C6A"/>
    <w:rsid w:val="008E0C91"/>
    <w:rsid w:val="008E6D09"/>
    <w:rsid w:val="008E6ED2"/>
    <w:rsid w:val="008F2045"/>
    <w:rsid w:val="008F280D"/>
    <w:rsid w:val="00900938"/>
    <w:rsid w:val="00905266"/>
    <w:rsid w:val="0091047C"/>
    <w:rsid w:val="00920E6F"/>
    <w:rsid w:val="00927058"/>
    <w:rsid w:val="009341F0"/>
    <w:rsid w:val="00946DF7"/>
    <w:rsid w:val="0095080C"/>
    <w:rsid w:val="0095278C"/>
    <w:rsid w:val="009556BF"/>
    <w:rsid w:val="00956CDF"/>
    <w:rsid w:val="0096723C"/>
    <w:rsid w:val="009755EA"/>
    <w:rsid w:val="009844BD"/>
    <w:rsid w:val="00994FD3"/>
    <w:rsid w:val="00995B2D"/>
    <w:rsid w:val="00996F30"/>
    <w:rsid w:val="009974C9"/>
    <w:rsid w:val="009A6B1B"/>
    <w:rsid w:val="009B3CC4"/>
    <w:rsid w:val="009C4597"/>
    <w:rsid w:val="009C7B62"/>
    <w:rsid w:val="009E5546"/>
    <w:rsid w:val="009F3098"/>
    <w:rsid w:val="00A23888"/>
    <w:rsid w:val="00A30AA0"/>
    <w:rsid w:val="00A46194"/>
    <w:rsid w:val="00A65B57"/>
    <w:rsid w:val="00A720B7"/>
    <w:rsid w:val="00A8185A"/>
    <w:rsid w:val="00A8197A"/>
    <w:rsid w:val="00A961E3"/>
    <w:rsid w:val="00AA1ACF"/>
    <w:rsid w:val="00AA1E2E"/>
    <w:rsid w:val="00AA6875"/>
    <w:rsid w:val="00AB0FA6"/>
    <w:rsid w:val="00AC458B"/>
    <w:rsid w:val="00AD04EA"/>
    <w:rsid w:val="00AD0B5E"/>
    <w:rsid w:val="00AD10D5"/>
    <w:rsid w:val="00AD1598"/>
    <w:rsid w:val="00AD2B61"/>
    <w:rsid w:val="00AD6D96"/>
    <w:rsid w:val="00AD733D"/>
    <w:rsid w:val="00AF69BD"/>
    <w:rsid w:val="00AF6E23"/>
    <w:rsid w:val="00AF7B36"/>
    <w:rsid w:val="00B02BC5"/>
    <w:rsid w:val="00B07CCD"/>
    <w:rsid w:val="00B12777"/>
    <w:rsid w:val="00B37EE2"/>
    <w:rsid w:val="00B44A22"/>
    <w:rsid w:val="00B46CC5"/>
    <w:rsid w:val="00B4782D"/>
    <w:rsid w:val="00B609D2"/>
    <w:rsid w:val="00B6653E"/>
    <w:rsid w:val="00B74B75"/>
    <w:rsid w:val="00B764DF"/>
    <w:rsid w:val="00B76F78"/>
    <w:rsid w:val="00B83266"/>
    <w:rsid w:val="00B86F30"/>
    <w:rsid w:val="00B941DD"/>
    <w:rsid w:val="00B97B34"/>
    <w:rsid w:val="00BA7C33"/>
    <w:rsid w:val="00BC5B95"/>
    <w:rsid w:val="00BC7215"/>
    <w:rsid w:val="00BE06CA"/>
    <w:rsid w:val="00BE2638"/>
    <w:rsid w:val="00BF3FD2"/>
    <w:rsid w:val="00C05725"/>
    <w:rsid w:val="00C07A34"/>
    <w:rsid w:val="00C1307E"/>
    <w:rsid w:val="00C1418E"/>
    <w:rsid w:val="00C20524"/>
    <w:rsid w:val="00C21AA4"/>
    <w:rsid w:val="00C277E1"/>
    <w:rsid w:val="00C31846"/>
    <w:rsid w:val="00C3432C"/>
    <w:rsid w:val="00C35970"/>
    <w:rsid w:val="00C4046A"/>
    <w:rsid w:val="00C463AE"/>
    <w:rsid w:val="00C555BA"/>
    <w:rsid w:val="00C6276A"/>
    <w:rsid w:val="00C64165"/>
    <w:rsid w:val="00C70F0D"/>
    <w:rsid w:val="00C81160"/>
    <w:rsid w:val="00C811F9"/>
    <w:rsid w:val="00C97F3F"/>
    <w:rsid w:val="00CA180D"/>
    <w:rsid w:val="00CB6FF2"/>
    <w:rsid w:val="00CC6742"/>
    <w:rsid w:val="00CD2A9C"/>
    <w:rsid w:val="00CE4554"/>
    <w:rsid w:val="00D03ADA"/>
    <w:rsid w:val="00D226B9"/>
    <w:rsid w:val="00D2626D"/>
    <w:rsid w:val="00D34F0D"/>
    <w:rsid w:val="00D36000"/>
    <w:rsid w:val="00D41842"/>
    <w:rsid w:val="00D43DC7"/>
    <w:rsid w:val="00D565B8"/>
    <w:rsid w:val="00D6183C"/>
    <w:rsid w:val="00D637F4"/>
    <w:rsid w:val="00D81774"/>
    <w:rsid w:val="00D95EE4"/>
    <w:rsid w:val="00D95FAA"/>
    <w:rsid w:val="00DB362F"/>
    <w:rsid w:val="00DC0635"/>
    <w:rsid w:val="00DC3632"/>
    <w:rsid w:val="00DD4220"/>
    <w:rsid w:val="00DD4410"/>
    <w:rsid w:val="00DD4766"/>
    <w:rsid w:val="00DD612A"/>
    <w:rsid w:val="00DD648C"/>
    <w:rsid w:val="00DF055F"/>
    <w:rsid w:val="00DF3933"/>
    <w:rsid w:val="00E041DC"/>
    <w:rsid w:val="00E06090"/>
    <w:rsid w:val="00E201C8"/>
    <w:rsid w:val="00E26F06"/>
    <w:rsid w:val="00E313F3"/>
    <w:rsid w:val="00E366EE"/>
    <w:rsid w:val="00E41858"/>
    <w:rsid w:val="00E446C3"/>
    <w:rsid w:val="00E60744"/>
    <w:rsid w:val="00E614FB"/>
    <w:rsid w:val="00E71E84"/>
    <w:rsid w:val="00E752BC"/>
    <w:rsid w:val="00E90A00"/>
    <w:rsid w:val="00E949C1"/>
    <w:rsid w:val="00EA03D8"/>
    <w:rsid w:val="00EA5E19"/>
    <w:rsid w:val="00EB6B9B"/>
    <w:rsid w:val="00EC1F71"/>
    <w:rsid w:val="00EC2A92"/>
    <w:rsid w:val="00EC41C4"/>
    <w:rsid w:val="00ED1505"/>
    <w:rsid w:val="00ED5297"/>
    <w:rsid w:val="00EE4E57"/>
    <w:rsid w:val="00F03B04"/>
    <w:rsid w:val="00F04FFC"/>
    <w:rsid w:val="00F05BF6"/>
    <w:rsid w:val="00F142DB"/>
    <w:rsid w:val="00F14F39"/>
    <w:rsid w:val="00F21AA2"/>
    <w:rsid w:val="00F251C7"/>
    <w:rsid w:val="00F566B6"/>
    <w:rsid w:val="00F56A63"/>
    <w:rsid w:val="00F56CC8"/>
    <w:rsid w:val="00F679D3"/>
    <w:rsid w:val="00F744FA"/>
    <w:rsid w:val="00F80236"/>
    <w:rsid w:val="00F80337"/>
    <w:rsid w:val="00F81402"/>
    <w:rsid w:val="00F83597"/>
    <w:rsid w:val="00F92BBD"/>
    <w:rsid w:val="00F94503"/>
    <w:rsid w:val="00FC0BC7"/>
    <w:rsid w:val="00FC38A0"/>
    <w:rsid w:val="00FC4148"/>
    <w:rsid w:val="00FD4C3C"/>
    <w:rsid w:val="00FE24DB"/>
    <w:rsid w:val="00FE61F7"/>
    <w:rsid w:val="00FE7DAB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C4E6"/>
  <w15:chartTrackingRefBased/>
  <w15:docId w15:val="{F7E2A205-0C62-4E7A-A515-67E586CB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4F3"/>
  </w:style>
  <w:style w:type="paragraph" w:styleId="Footer">
    <w:name w:val="footer"/>
    <w:basedOn w:val="Normal"/>
    <w:link w:val="FooterChar"/>
    <w:uiPriority w:val="99"/>
    <w:unhideWhenUsed/>
    <w:rsid w:val="00794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4F3"/>
  </w:style>
  <w:style w:type="paragraph" w:styleId="Revision">
    <w:name w:val="Revision"/>
    <w:hidden/>
    <w:uiPriority w:val="99"/>
    <w:semiHidden/>
    <w:rsid w:val="00432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A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7427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3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Wykes</dc:creator>
  <cp:keywords/>
  <dc:description/>
  <cp:lastModifiedBy>Thomas Wilson</cp:lastModifiedBy>
  <cp:revision>5</cp:revision>
  <dcterms:created xsi:type="dcterms:W3CDTF">2026-04-01T16:59:00Z</dcterms:created>
  <dcterms:modified xsi:type="dcterms:W3CDTF">2026-04-20T19:38:00Z</dcterms:modified>
</cp:coreProperties>
</file>