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color w:val="271D4D"/>
          <w:spacing w:val="20"/>
          <w:sz w:val="40"/>
          <w:szCs w:val="40"/>
        </w:rPr>
        <w:t xml:space="preserve">DMAFB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A2342"/>
          <w:sz w:val="28"/>
          <w:szCs w:val="28"/>
        </w:rPr>
        <w:t xml:space="preserve">Workforce Health Pilot — Brief</w:t>
      </w:r>
    </w:p>
    <w:p>
      <w:pPr>
        <w:pBdr>
          <w:bottom w:val="single" w:color="C8860D" w:sz="12" w:space="1"/>
        </w:pBdr>
        <w:spacing w:after="160"/>
      </w:pPr>
    </w:p>
    <w:p>
      <w:pPr>
        <w:spacing w:after="120" w:line="264"/>
      </w:pPr>
      <w:r>
        <w:rPr>
          <w:rFonts w:ascii="Arial" w:cs="Arial" w:eastAsia="Arial" w:hAnsi="Arial"/>
          <w:i/>
          <w:iCs/>
          <w:color w:val="6E6886"/>
          <w:sz w:val="22"/>
          <w:szCs w:val="22"/>
        </w:rPr>
        <w:t xml:space="preserve">A focused pilot to measure early-stage burnout and psychological-safety risk across one team, and to put a specific, evidence-based action in the manager’s hands before strain turns into absence or attrition. Run in association with King’s College London and the University of Sussex.</w:t>
      </w:r>
    </w:p>
    <w:p>
      <w:pPr>
        <w:pStyle w:val="Heading2"/>
        <w:spacing w:after="100" w:before="260"/>
      </w:pPr>
      <w:r>
        <w:rPr>
          <w:rFonts w:ascii="Arial" w:cs="Arial" w:eastAsia="Arial" w:hAnsi="Arial"/>
          <w:b/>
          <w:bCs/>
          <w:color w:val="271D4D"/>
          <w:sz w:val="26"/>
          <w:szCs w:val="26"/>
        </w:rPr>
        <w:t xml:space="preserve">The gap we close</w:t>
      </w:r>
    </w:p>
    <w:p>
      <w:pPr>
        <w:spacing w:after="120" w:line="264"/>
      </w:pPr>
      <w:r>
        <w:rPr>
          <w:rFonts w:ascii="Arial" w:cs="Arial" w:eastAsia="Arial" w:hAnsi="Arial"/>
          <w:color w:val="2A2342"/>
          <w:sz w:val="22"/>
          <w:szCs w:val="22"/>
        </w:rPr>
        <w:t xml:space="preserve">Most organisations only discover burnout once someone has already broken — a period of sick leave, a resignation, a grievance. Engagement surveys describe the problem once or twice a year and too late to act on; wellbeing apps support the individual but leave the system unseen. DMAFB is the missing measurement-and-intervention layer between the two: we detect deterioration weeks early and close the loop to the one person with real leverage over it — the manager. We are deliberately not a wellbeing app or an EAP.</w:t>
      </w:r>
    </w:p>
    <w:p>
      <w:pPr>
        <w:pStyle w:val="Heading2"/>
        <w:spacing w:after="100" w:before="260"/>
      </w:pPr>
      <w:r>
        <w:rPr>
          <w:rFonts w:ascii="Arial" w:cs="Arial" w:eastAsia="Arial" w:hAnsi="Arial"/>
          <w:b/>
          <w:bCs/>
          <w:color w:val="271D4D"/>
          <w:sz w:val="26"/>
          <w:szCs w:val="26"/>
        </w:rPr>
        <w:t xml:space="preserve">What the pilot measures</w:t>
      </w:r>
    </w:p>
    <w:p>
      <w:pPr>
        <w:spacing w:after="120" w:line="264"/>
      </w:pPr>
      <w:r>
        <w:rPr>
          <w:rFonts w:ascii="Arial" w:cs="Arial" w:eastAsia="Arial" w:hAnsi="Arial"/>
          <w:color w:val="2A2342"/>
          <w:sz w:val="22"/>
          <w:szCs w:val="22"/>
        </w:rPr>
        <w:t xml:space="preserve">Three validated, peer-reviewed psychometric instruments, captured through short anonymous check-ins: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Maslach Burnout Inventory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the standard measure of occupational burnout.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Edmondson Psychological Safety Scale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whether people feel safe to speak up within the team.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Self-Determination Theory (Work-Based Needs Satisfaction)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the autonomy, competence and relatedness that drive motivation.</w:t>
      </w:r>
    </w:p>
    <w:p>
      <w:pPr>
        <w:pStyle w:val="Heading2"/>
        <w:spacing w:after="100" w:before="260"/>
      </w:pPr>
      <w:r>
        <w:rPr>
          <w:rFonts w:ascii="Arial" w:cs="Arial" w:eastAsia="Arial" w:hAnsi="Arial"/>
          <w:b/>
          <w:bCs/>
          <w:color w:val="271D4D"/>
          <w:sz w:val="26"/>
          <w:szCs w:val="26"/>
        </w:rPr>
        <w:t xml:space="preserve">Pilot outcomes</w:t>
      </w:r>
    </w:p>
    <w:p>
      <w:pPr>
        <w:spacing w:after="120" w:line="264"/>
      </w:pPr>
      <w:r>
        <w:rPr>
          <w:rFonts w:ascii="Arial" w:cs="Arial" w:eastAsia="Arial" w:hAnsi="Arial"/>
          <w:color w:val="2A2342"/>
          <w:sz w:val="22"/>
          <w:szCs w:val="22"/>
        </w:rPr>
        <w:t xml:space="preserve">The pilot is designed to establish, for your team specifically: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A measured signal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movement in validated burnout, psychological-safety and needs-satisfaction scores from baseline over the pilot period.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Adherence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the proportion of the team completing weekly check-ins, as a read on whether the approach works in your environment.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Manager action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how often managers received and acted on a recommended intervention, and what changed.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An early ROI read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a directional, CFO-grade view of the cost of the strain identified, against the cost of acting early.</w:t>
      </w:r>
    </w:p>
    <w:p>
      <w:pPr>
        <w:spacing w:after="120" w:line="264"/>
      </w:pPr>
      <w:r>
        <w:rPr>
          <w:rFonts w:ascii="Arial" w:cs="Arial" w:eastAsia="Arial" w:hAnsi="Arial"/>
          <w:b/>
          <w:bCs/>
          <w:color w:val="6E6886"/>
          <w:sz w:val="20"/>
          <w:szCs w:val="20"/>
        </w:rPr>
        <w:t xml:space="preserve">Note on claims: </w:t>
      </w:r>
      <w:r>
        <w:rPr>
          <w:rFonts w:ascii="Arial" w:cs="Arial" w:eastAsia="Arial" w:hAnsi="Arial"/>
          <w:i/>
          <w:iCs/>
          <w:color w:val="6E6886"/>
          <w:sz w:val="20"/>
          <w:szCs w:val="20"/>
        </w:rPr>
        <w:t xml:space="preserve">a pilot establishes whether the signal holds in your context. It is a measurement exercise, not a guarantee of a specific outcome — we report what the data shows, including where it is inconclusive.</w:t>
      </w:r>
    </w:p>
    <w:p>
      <w:pPr>
        <w:pStyle w:val="Heading2"/>
        <w:spacing w:after="100" w:before="260"/>
      </w:pPr>
      <w:r>
        <w:rPr>
          <w:rFonts w:ascii="Arial" w:cs="Arial" w:eastAsia="Arial" w:hAnsi="Arial"/>
          <w:b/>
          <w:bCs/>
          <w:color w:val="271D4D"/>
          <w:sz w:val="26"/>
          <w:szCs w:val="26"/>
        </w:rPr>
        <w:t xml:space="preserve">Privacy posture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Anonymous by default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employees choose if and when to share their name; the platform works without it.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Aggregates only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managers see team-level aggregates and trends only, never an individual’s responses.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Minimum cohort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the team is at least 10 participants, so no individual can be inferred from the data and the signal is statistically meaningful.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Compliant by design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GDPR-aligned, with encrypted data transmission and storage, opt-in participation, and the right to withdraw at any time.</w:t>
      </w:r>
    </w:p>
    <w:p>
      <w:pPr>
        <w:pStyle w:val="Heading2"/>
        <w:spacing w:after="100" w:before="260"/>
      </w:pPr>
      <w:r>
        <w:rPr>
          <w:rFonts w:ascii="Arial" w:cs="Arial" w:eastAsia="Arial" w:hAnsi="Arial"/>
          <w:b/>
          <w:bCs/>
          <w:color w:val="271D4D"/>
          <w:sz w:val="26"/>
          <w:szCs w:val="26"/>
        </w:rPr>
        <w:t xml:space="preserve">How it runs</w:t>
      </w:r>
    </w:p>
    <w:p>
      <w:pPr>
        <w:spacing w:after="120" w:line="264"/>
      </w:pPr>
      <w:r>
        <w:rPr>
          <w:rFonts w:ascii="Arial" w:cs="Arial" w:eastAsia="Arial" w:hAnsi="Arial"/>
          <w:color w:val="2A2342"/>
          <w:sz w:val="22"/>
          <w:szCs w:val="22"/>
        </w:rPr>
        <w:t xml:space="preserve">A typical pilot runs over roughly twelve weeks in five short phases: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100"/>
        <w:gridCol w:w="5760"/>
      </w:tblGrid>
      <w:tr>
        <w:tc>
          <w:tcPr>
            <w:tcW w:type="dxa" w:w="15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271D4D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Timing</w:t>
            </w:r>
          </w:p>
        </w:tc>
        <w:tc>
          <w:tcPr>
            <w:tcW w:type="dxa" w:w="21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271D4D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Phase</w:t>
            </w:r>
          </w:p>
        </w:tc>
        <w:tc>
          <w:tcPr>
            <w:tcW w:type="dxa" w:w="57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271D4D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happens</w:t>
            </w:r>
          </w:p>
        </w:tc>
      </w:tr>
      <w:tr>
        <w:tc>
          <w:tcPr>
            <w:tcW w:type="dxa" w:w="15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Weeks 1–2</w:t>
            </w:r>
          </w:p>
        </w:tc>
        <w:tc>
          <w:tcPr>
            <w:tcW w:type="dxa" w:w="21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Align</w:t>
            </w:r>
          </w:p>
        </w:tc>
        <w:tc>
          <w:tcPr>
            <w:tcW w:type="dxa" w:w="57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Goals, success metrics, the consent approach and a short comms plan agreed with the sponsoring manager and people lead.</w:t>
            </w:r>
          </w:p>
        </w:tc>
      </w:tr>
      <w:tr>
        <w:tc>
          <w:tcPr>
            <w:tcW w:type="dxa" w:w="15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Weeks 3–4</w:t>
            </w:r>
          </w:p>
        </w:tc>
        <w:tc>
          <w:tcPr>
            <w:tcW w:type="dxa" w:w="21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Baseline</w:t>
            </w:r>
          </w:p>
        </w:tc>
        <w:tc>
          <w:tcPr>
            <w:tcW w:type="dxa" w:w="57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Manager onboarding, platform set-up, and a baseline measurement across the team.</w:t>
            </w:r>
          </w:p>
        </w:tc>
      </w:tr>
      <w:tr>
        <w:tc>
          <w:tcPr>
            <w:tcW w:type="dxa" w:w="15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Weeks 5–10</w:t>
            </w:r>
          </w:p>
        </w:tc>
        <w:tc>
          <w:tcPr>
            <w:tcW w:type="dxa" w:w="21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Run</w:t>
            </w:r>
          </w:p>
        </w:tc>
        <w:tc>
          <w:tcPr>
            <w:tcW w:type="dxa" w:w="57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Weekly anonymous check-ins, early-warning signals, and evidence-based manager actions delivered at the point of need.</w:t>
            </w:r>
          </w:p>
        </w:tc>
      </w:tr>
      <w:tr>
        <w:tc>
          <w:tcPr>
            <w:tcW w:type="dxa" w:w="15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Week 11</w:t>
            </w:r>
          </w:p>
        </w:tc>
        <w:tc>
          <w:tcPr>
            <w:tcW w:type="dxa" w:w="21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Review</w:t>
            </w:r>
          </w:p>
        </w:tc>
        <w:tc>
          <w:tcPr>
            <w:tcW w:type="dxa" w:w="57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Trend review against baseline, an adherence read, and a directional readout of what changed.</w:t>
            </w:r>
          </w:p>
        </w:tc>
      </w:tr>
      <w:tr>
        <w:tc>
          <w:tcPr>
            <w:tcW w:type="dxa" w:w="15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Week 12+</w:t>
            </w:r>
          </w:p>
        </w:tc>
        <w:tc>
          <w:tcPr>
            <w:tcW w:type="dxa" w:w="210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Decide</w:t>
            </w:r>
          </w:p>
        </w:tc>
        <w:tc>
          <w:tcPr>
            <w:tcW w:type="dxa" w:w="57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fill="F0EC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A2342"/>
                <w:sz w:val="20"/>
                <w:szCs w:val="20"/>
              </w:rPr>
              <w:t xml:space="preserve">A clear, evidence-based scale-or-stop decision, with a written summary you keep either way.</w:t>
            </w:r>
          </w:p>
        </w:tc>
      </w:tr>
    </w:tbl>
    <w:p>
      <w:pPr>
        <w:pStyle w:val="Heading2"/>
        <w:spacing w:after="100" w:before="260"/>
      </w:pPr>
      <w:r>
        <w:rPr>
          <w:rFonts w:ascii="Arial" w:cs="Arial" w:eastAsia="Arial" w:hAnsi="Arial"/>
          <w:b/>
          <w:bCs/>
          <w:color w:val="271D4D"/>
          <w:sz w:val="26"/>
          <w:szCs w:val="26"/>
        </w:rPr>
        <w:t xml:space="preserve">What we need from you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One committed team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ideally 10–12 people who will take part for the full pilot. Completion matters more than headline size.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An engaged manager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a manager or team lead willing to receive the signals and act on the recommended steps.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rFonts w:ascii="Arial" w:cs="Arial" w:eastAsia="Arial" w:hAnsi="Arial"/>
          <w:b/>
          <w:bCs/>
          <w:color w:val="2A2342"/>
          <w:sz w:val="22"/>
          <w:szCs w:val="22"/>
        </w:rPr>
        <w:t xml:space="preserve">A light time commitment —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roughly 10–15 minutes per person per week, plus a short manager check-in. No survey administration on your side.</w:t>
      </w:r>
    </w:p>
    <w:p>
      <w:pPr>
        <w:pStyle w:val="Heading2"/>
        <w:spacing w:after="100" w:before="260"/>
      </w:pPr>
      <w:r>
        <w:rPr>
          <w:rFonts w:ascii="Arial" w:cs="Arial" w:eastAsia="Arial" w:hAnsi="Arial"/>
          <w:b/>
          <w:bCs/>
          <w:color w:val="271D4D"/>
          <w:sz w:val="26"/>
          <w:szCs w:val="26"/>
        </w:rPr>
        <w:t xml:space="preserve">What you get</w:t>
      </w:r>
    </w:p>
    <w:p>
      <w:pPr>
        <w:spacing w:after="120" w:line="264"/>
      </w:pPr>
      <w:r>
        <w:rPr>
          <w:rFonts w:ascii="Arial" w:cs="Arial" w:eastAsia="Arial" w:hAnsi="Arial"/>
          <w:color w:val="2A2342"/>
          <w:sz w:val="22"/>
          <w:szCs w:val="22"/>
        </w:rPr>
        <w:t xml:space="preserve">Early sight of your team’s wellbeing, practical support for the manager at the point it is needed, a written impact summary you keep regardless of what you decide next, and a role in building the evidence base for what actually prevents burnout.</w:t>
      </w:r>
    </w:p>
    <w:p>
      <w:pPr>
        <w:pBdr>
          <w:bottom w:val="single" w:color="271D4D" w:sz="10" w:space="1"/>
        </w:pBdr>
        <w:spacing w:after="160"/>
      </w:pPr>
    </w:p>
    <w:p>
      <w:pPr>
        <w:spacing w:after="120" w:line="264"/>
      </w:pPr>
      <w:r>
        <w:rPr>
          <w:rFonts w:ascii="Arial" w:cs="Arial" w:eastAsia="Arial" w:hAnsi="Arial"/>
          <w:b/>
          <w:bCs/>
          <w:color w:val="271D4D"/>
          <w:sz w:val="22"/>
          <w:szCs w:val="22"/>
        </w:rPr>
        <w:t xml:space="preserve">Next step: </w:t>
      </w:r>
      <w:r>
        <w:rPr>
          <w:rFonts w:ascii="Arial" w:cs="Arial" w:eastAsia="Arial" w:hAnsi="Arial"/>
          <w:color w:val="2A2342"/>
          <w:sz w:val="22"/>
          <w:szCs w:val="22"/>
        </w:rPr>
        <w:t xml:space="preserve">a short scoping call to agree the team, success metrics and timing.   </w:t>
      </w:r>
      <w:r>
        <w:rPr>
          <w:rFonts w:ascii="Arial" w:cs="Arial" w:eastAsia="Arial" w:hAnsi="Arial"/>
          <w:b/>
          <w:bCs/>
          <w:color w:val="271D4D"/>
          <w:sz w:val="21"/>
          <w:szCs w:val="21"/>
        </w:rPr>
        <w:t xml:space="preserve">Don Diffang, CEO &amp; Co-Founder · don@dmafb.app · dmafb.app</w:t>
      </w:r>
    </w:p>
    <w:sectPr>
      <w:pgSz w:w="12240" w:h="15840" w:orient="portrait"/>
      <w:pgMar w:top="130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C8860D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A234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2026-06-24T00:43:22.357Z</dcterms:created>
  <dcterms:modified xsi:type="dcterms:W3CDTF">2026-06-24T00:43:22.373Z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