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009B1" w14:textId="24BEE16C" w:rsidR="00495DA6" w:rsidRDefault="00B96132" w:rsidP="00B96132">
      <w:pPr>
        <w:jc w:val="center"/>
        <w:rPr>
          <w:b/>
          <w:bCs/>
          <w:lang w:val="en-GB"/>
        </w:rPr>
      </w:pPr>
      <w:r>
        <w:rPr>
          <w:noProof/>
        </w:rPr>
        <w:drawing>
          <wp:inline distT="0" distB="0" distL="0" distR="0" wp14:anchorId="1B3CEAC2" wp14:editId="525512CB">
            <wp:extent cx="1847850" cy="1136650"/>
            <wp:effectExtent l="0" t="0" r="0" b="6350"/>
            <wp:docPr id="515548693" name="Picture 1" descr="Logo, company name  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Logo, company name  Description automatically generated, 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1136650"/>
                    </a:xfrm>
                    <a:prstGeom prst="rect">
                      <a:avLst/>
                    </a:prstGeom>
                    <a:noFill/>
                    <a:ln>
                      <a:noFill/>
                    </a:ln>
                  </pic:spPr>
                </pic:pic>
              </a:graphicData>
            </a:graphic>
          </wp:inline>
        </w:drawing>
      </w:r>
    </w:p>
    <w:p w14:paraId="2378D124" w14:textId="538F961A" w:rsidR="00B96132" w:rsidRDefault="00B96132" w:rsidP="00B96132">
      <w:pPr>
        <w:pStyle w:val="Title"/>
        <w:jc w:val="center"/>
        <w:rPr>
          <w:lang w:val="en-GB"/>
        </w:rPr>
      </w:pPr>
      <w:r>
        <w:rPr>
          <w:lang w:val="en-GB"/>
        </w:rPr>
        <w:t>Job Description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6405"/>
      </w:tblGrid>
      <w:tr w:rsidR="007D2CB0" w:rsidRPr="007D2CB0" w14:paraId="64542F5D" w14:textId="77777777">
        <w:trPr>
          <w:trHeight w:val="285"/>
        </w:trPr>
        <w:tc>
          <w:tcPr>
            <w:tcW w:w="2520" w:type="dxa"/>
            <w:tcBorders>
              <w:top w:val="single" w:sz="6" w:space="0" w:color="auto"/>
              <w:left w:val="single" w:sz="6" w:space="0" w:color="auto"/>
              <w:bottom w:val="single" w:sz="6" w:space="0" w:color="auto"/>
              <w:right w:val="single" w:sz="6" w:space="0" w:color="auto"/>
            </w:tcBorders>
            <w:hideMark/>
          </w:tcPr>
          <w:p w14:paraId="5E3332B1" w14:textId="77777777" w:rsidR="007D2CB0" w:rsidRPr="007D2CB0" w:rsidRDefault="007D2CB0" w:rsidP="007D2CB0">
            <w:pPr>
              <w:spacing w:beforeAutospacing="1" w:after="0" w:afterAutospacing="1" w:line="240" w:lineRule="auto"/>
              <w:textAlignment w:val="baseline"/>
              <w:rPr>
                <w:rFonts w:ascii="Times New Roman" w:eastAsia="Times New Roman" w:hAnsi="Times New Roman" w:cs="Times New Roman"/>
                <w:szCs w:val="24"/>
                <w:lang w:val="en-GB" w:eastAsia="en-GB"/>
              </w:rPr>
            </w:pPr>
            <w:r w:rsidRPr="007D2CB0">
              <w:rPr>
                <w:rFonts w:eastAsia="Times New Roman" w:cs="Times New Roman"/>
                <w:b/>
                <w:bCs/>
                <w:color w:val="000000"/>
                <w:szCs w:val="24"/>
                <w:lang w:val="en-GB" w:eastAsia="en-GB"/>
              </w:rPr>
              <w:t>Job title</w:t>
            </w:r>
            <w:r w:rsidRPr="007D2CB0">
              <w:rPr>
                <w:rFonts w:eastAsia="Times New Roman" w:cs="Times New Roman"/>
                <w:color w:val="000000"/>
                <w:szCs w:val="24"/>
                <w:lang w:val="en-GB" w:eastAsia="en-GB"/>
              </w:rPr>
              <w:t> </w:t>
            </w:r>
          </w:p>
        </w:tc>
        <w:tc>
          <w:tcPr>
            <w:tcW w:w="6405" w:type="dxa"/>
            <w:tcBorders>
              <w:top w:val="single" w:sz="6" w:space="0" w:color="auto"/>
              <w:left w:val="single" w:sz="6" w:space="0" w:color="auto"/>
              <w:bottom w:val="single" w:sz="6" w:space="0" w:color="auto"/>
              <w:right w:val="single" w:sz="6" w:space="0" w:color="auto"/>
            </w:tcBorders>
            <w:hideMark/>
          </w:tcPr>
          <w:p w14:paraId="6D2CA21D" w14:textId="4793E3ED" w:rsidR="007D2CB0" w:rsidRPr="004511B5" w:rsidRDefault="007D2CB0" w:rsidP="007D2CB0">
            <w:pPr>
              <w:spacing w:after="0" w:line="240" w:lineRule="auto"/>
              <w:textAlignment w:val="baseline"/>
              <w:rPr>
                <w:rFonts w:ascii="Times New Roman" w:eastAsia="Times New Roman" w:hAnsi="Times New Roman" w:cs="Times New Roman"/>
                <w:szCs w:val="24"/>
                <w:lang w:val="en-GB" w:eastAsia="en-GB"/>
              </w:rPr>
            </w:pPr>
            <w:r w:rsidRPr="004511B5">
              <w:rPr>
                <w:rFonts w:eastAsia="Times New Roman" w:cs="Times New Roman"/>
                <w:color w:val="000000"/>
                <w:szCs w:val="24"/>
                <w:lang w:val="en-GB" w:eastAsia="en-GB"/>
              </w:rPr>
              <w:t>Wellbeing Practitioner</w:t>
            </w:r>
            <w:r w:rsidRPr="004511B5">
              <w:rPr>
                <w:rFonts w:ascii="Arial" w:eastAsia="Times New Roman" w:hAnsi="Arial" w:cs="Arial"/>
                <w:color w:val="000000"/>
                <w:szCs w:val="24"/>
                <w:lang w:val="en-GB" w:eastAsia="en-GB"/>
              </w:rPr>
              <w:t> </w:t>
            </w:r>
            <w:r w:rsidRPr="004511B5">
              <w:rPr>
                <w:rFonts w:eastAsia="Times New Roman" w:cs="Times New Roman"/>
                <w:color w:val="000000"/>
                <w:szCs w:val="24"/>
                <w:lang w:val="en-GB" w:eastAsia="en-GB"/>
              </w:rPr>
              <w:t> </w:t>
            </w:r>
            <w:r w:rsidR="004511B5" w:rsidRPr="004511B5">
              <w:rPr>
                <w:rFonts w:eastAsia="Times New Roman" w:cs="Times New Roman"/>
                <w:color w:val="000000"/>
                <w:szCs w:val="24"/>
                <w:lang w:val="en-GB" w:eastAsia="en-GB"/>
              </w:rPr>
              <w:t>(Work Well)</w:t>
            </w:r>
          </w:p>
        </w:tc>
      </w:tr>
      <w:tr w:rsidR="007D2CB0" w:rsidRPr="007D2CB0" w14:paraId="095F9BF4" w14:textId="77777777">
        <w:trPr>
          <w:trHeight w:val="285"/>
        </w:trPr>
        <w:tc>
          <w:tcPr>
            <w:tcW w:w="2520" w:type="dxa"/>
            <w:tcBorders>
              <w:top w:val="single" w:sz="6" w:space="0" w:color="auto"/>
              <w:left w:val="single" w:sz="6" w:space="0" w:color="auto"/>
              <w:bottom w:val="single" w:sz="6" w:space="0" w:color="auto"/>
              <w:right w:val="single" w:sz="6" w:space="0" w:color="auto"/>
            </w:tcBorders>
            <w:hideMark/>
          </w:tcPr>
          <w:p w14:paraId="0CA9F44E" w14:textId="77777777" w:rsidR="007D2CB0" w:rsidRPr="007D2CB0" w:rsidRDefault="007D2CB0" w:rsidP="007D2CB0">
            <w:pPr>
              <w:spacing w:beforeAutospacing="1" w:after="0" w:afterAutospacing="1" w:line="240" w:lineRule="auto"/>
              <w:textAlignment w:val="baseline"/>
              <w:rPr>
                <w:rFonts w:ascii="Times New Roman" w:eastAsia="Times New Roman" w:hAnsi="Times New Roman" w:cs="Times New Roman"/>
                <w:szCs w:val="24"/>
                <w:lang w:val="en-GB" w:eastAsia="en-GB"/>
              </w:rPr>
            </w:pPr>
            <w:r w:rsidRPr="007D2CB0">
              <w:rPr>
                <w:rFonts w:eastAsia="Times New Roman" w:cs="Times New Roman"/>
                <w:b/>
                <w:bCs/>
                <w:color w:val="000000"/>
                <w:szCs w:val="24"/>
                <w:lang w:val="en-GB" w:eastAsia="en-GB"/>
              </w:rPr>
              <w:t>Weekly Hours</w:t>
            </w:r>
            <w:r w:rsidRPr="007D2CB0">
              <w:rPr>
                <w:rFonts w:eastAsia="Times New Roman" w:cs="Times New Roman"/>
                <w:color w:val="000000"/>
                <w:szCs w:val="24"/>
                <w:lang w:val="en-GB" w:eastAsia="en-GB"/>
              </w:rPr>
              <w:t> </w:t>
            </w:r>
          </w:p>
        </w:tc>
        <w:tc>
          <w:tcPr>
            <w:tcW w:w="6405" w:type="dxa"/>
            <w:tcBorders>
              <w:top w:val="single" w:sz="6" w:space="0" w:color="auto"/>
              <w:left w:val="single" w:sz="6" w:space="0" w:color="auto"/>
              <w:bottom w:val="single" w:sz="6" w:space="0" w:color="auto"/>
              <w:right w:val="single" w:sz="6" w:space="0" w:color="auto"/>
            </w:tcBorders>
            <w:hideMark/>
          </w:tcPr>
          <w:p w14:paraId="6F0E0EED" w14:textId="77777777" w:rsidR="007D2CB0" w:rsidRPr="004511B5" w:rsidRDefault="007D2CB0" w:rsidP="007D2CB0">
            <w:pPr>
              <w:spacing w:after="0" w:line="240" w:lineRule="auto"/>
              <w:textAlignment w:val="baseline"/>
              <w:rPr>
                <w:rFonts w:ascii="Times New Roman" w:eastAsia="Times New Roman" w:hAnsi="Times New Roman" w:cs="Times New Roman"/>
                <w:szCs w:val="24"/>
                <w:lang w:val="en-GB" w:eastAsia="en-GB"/>
              </w:rPr>
            </w:pPr>
            <w:r w:rsidRPr="004511B5">
              <w:rPr>
                <w:rFonts w:eastAsia="Times New Roman" w:cs="Times New Roman"/>
                <w:color w:val="000000"/>
                <w:szCs w:val="24"/>
                <w:lang w:val="en-GB" w:eastAsia="en-GB"/>
              </w:rPr>
              <w:t>Full time (37.5 hours per week) and part time (15 hours and 21 hours) are available </w:t>
            </w:r>
          </w:p>
        </w:tc>
      </w:tr>
      <w:tr w:rsidR="007D2CB0" w:rsidRPr="007D2CB0" w14:paraId="35E3B575" w14:textId="77777777">
        <w:trPr>
          <w:trHeight w:val="285"/>
        </w:trPr>
        <w:tc>
          <w:tcPr>
            <w:tcW w:w="2520" w:type="dxa"/>
            <w:tcBorders>
              <w:top w:val="single" w:sz="6" w:space="0" w:color="auto"/>
              <w:left w:val="single" w:sz="6" w:space="0" w:color="auto"/>
              <w:bottom w:val="single" w:sz="6" w:space="0" w:color="auto"/>
              <w:right w:val="single" w:sz="6" w:space="0" w:color="auto"/>
            </w:tcBorders>
            <w:hideMark/>
          </w:tcPr>
          <w:p w14:paraId="33EE8AE0" w14:textId="77777777" w:rsidR="007D2CB0" w:rsidRPr="007D2CB0" w:rsidRDefault="007D2CB0" w:rsidP="007D2CB0">
            <w:pPr>
              <w:spacing w:beforeAutospacing="1" w:after="0" w:afterAutospacing="1" w:line="240" w:lineRule="auto"/>
              <w:textAlignment w:val="baseline"/>
              <w:rPr>
                <w:rFonts w:ascii="Times New Roman" w:eastAsia="Times New Roman" w:hAnsi="Times New Roman" w:cs="Times New Roman"/>
                <w:szCs w:val="24"/>
                <w:lang w:val="en-GB" w:eastAsia="en-GB"/>
              </w:rPr>
            </w:pPr>
            <w:r w:rsidRPr="007D2CB0">
              <w:rPr>
                <w:rFonts w:eastAsia="Times New Roman" w:cs="Times New Roman"/>
                <w:b/>
                <w:bCs/>
                <w:color w:val="000000"/>
                <w:szCs w:val="24"/>
                <w:lang w:val="en-GB" w:eastAsia="en-GB"/>
              </w:rPr>
              <w:t>Contract Type</w:t>
            </w:r>
            <w:r w:rsidRPr="007D2CB0">
              <w:rPr>
                <w:rFonts w:eastAsia="Times New Roman" w:cs="Times New Roman"/>
                <w:color w:val="000000"/>
                <w:szCs w:val="24"/>
                <w:lang w:val="en-GB" w:eastAsia="en-GB"/>
              </w:rPr>
              <w:t> </w:t>
            </w:r>
          </w:p>
        </w:tc>
        <w:tc>
          <w:tcPr>
            <w:tcW w:w="6405" w:type="dxa"/>
            <w:tcBorders>
              <w:top w:val="single" w:sz="6" w:space="0" w:color="auto"/>
              <w:left w:val="single" w:sz="6" w:space="0" w:color="auto"/>
              <w:bottom w:val="single" w:sz="6" w:space="0" w:color="auto"/>
              <w:right w:val="single" w:sz="6" w:space="0" w:color="auto"/>
            </w:tcBorders>
            <w:hideMark/>
          </w:tcPr>
          <w:p w14:paraId="615285CB" w14:textId="77777777" w:rsidR="007D2CB0" w:rsidRPr="004511B5" w:rsidRDefault="007D2CB0" w:rsidP="007D2CB0">
            <w:pPr>
              <w:spacing w:after="0" w:line="240" w:lineRule="auto"/>
              <w:textAlignment w:val="baseline"/>
              <w:rPr>
                <w:rFonts w:ascii="Times New Roman" w:eastAsia="Times New Roman" w:hAnsi="Times New Roman" w:cs="Times New Roman"/>
                <w:szCs w:val="24"/>
                <w:lang w:val="en-GB" w:eastAsia="en-GB"/>
              </w:rPr>
            </w:pPr>
            <w:r w:rsidRPr="004511B5">
              <w:rPr>
                <w:rFonts w:eastAsia="Times New Roman" w:cs="Times New Roman"/>
                <w:color w:val="000000"/>
                <w:szCs w:val="24"/>
                <w:lang w:val="en-GB" w:eastAsia="en-GB"/>
              </w:rPr>
              <w:t>Permanent and 12 months initial fixed term contracts are available </w:t>
            </w:r>
          </w:p>
        </w:tc>
      </w:tr>
      <w:tr w:rsidR="007D2CB0" w:rsidRPr="007D2CB0" w14:paraId="25B77025" w14:textId="77777777">
        <w:trPr>
          <w:trHeight w:val="285"/>
        </w:trPr>
        <w:tc>
          <w:tcPr>
            <w:tcW w:w="2520" w:type="dxa"/>
            <w:tcBorders>
              <w:top w:val="single" w:sz="6" w:space="0" w:color="auto"/>
              <w:left w:val="single" w:sz="6" w:space="0" w:color="auto"/>
              <w:bottom w:val="single" w:sz="6" w:space="0" w:color="auto"/>
              <w:right w:val="single" w:sz="6" w:space="0" w:color="auto"/>
            </w:tcBorders>
            <w:hideMark/>
          </w:tcPr>
          <w:p w14:paraId="7BB514E1" w14:textId="77777777" w:rsidR="007D2CB0" w:rsidRPr="007D2CB0" w:rsidRDefault="007D2CB0" w:rsidP="007D2CB0">
            <w:pPr>
              <w:spacing w:beforeAutospacing="1" w:after="0" w:afterAutospacing="1" w:line="240" w:lineRule="auto"/>
              <w:textAlignment w:val="baseline"/>
              <w:rPr>
                <w:rFonts w:ascii="Times New Roman" w:eastAsia="Times New Roman" w:hAnsi="Times New Roman" w:cs="Times New Roman"/>
                <w:szCs w:val="24"/>
                <w:lang w:val="en-GB" w:eastAsia="en-GB"/>
              </w:rPr>
            </w:pPr>
            <w:r w:rsidRPr="007D2CB0">
              <w:rPr>
                <w:rFonts w:eastAsia="Times New Roman" w:cs="Times New Roman"/>
                <w:b/>
                <w:bCs/>
                <w:color w:val="000000"/>
                <w:szCs w:val="24"/>
                <w:lang w:val="en-GB" w:eastAsia="en-GB"/>
              </w:rPr>
              <w:t>Salary</w:t>
            </w:r>
            <w:r w:rsidRPr="007D2CB0">
              <w:rPr>
                <w:rFonts w:eastAsia="Times New Roman" w:cs="Times New Roman"/>
                <w:color w:val="000000"/>
                <w:szCs w:val="24"/>
                <w:lang w:val="en-GB" w:eastAsia="en-GB"/>
              </w:rPr>
              <w:t> </w:t>
            </w:r>
          </w:p>
        </w:tc>
        <w:tc>
          <w:tcPr>
            <w:tcW w:w="6405" w:type="dxa"/>
            <w:tcBorders>
              <w:top w:val="single" w:sz="6" w:space="0" w:color="auto"/>
              <w:left w:val="single" w:sz="6" w:space="0" w:color="auto"/>
              <w:bottom w:val="single" w:sz="6" w:space="0" w:color="auto"/>
              <w:right w:val="single" w:sz="6" w:space="0" w:color="auto"/>
            </w:tcBorders>
            <w:hideMark/>
          </w:tcPr>
          <w:p w14:paraId="6CEEF199" w14:textId="77777777" w:rsidR="007D2CB0" w:rsidRPr="004511B5" w:rsidRDefault="007D2CB0" w:rsidP="007D2CB0">
            <w:pPr>
              <w:spacing w:after="0" w:line="240" w:lineRule="auto"/>
              <w:textAlignment w:val="baseline"/>
              <w:rPr>
                <w:rFonts w:ascii="Times New Roman" w:eastAsia="Times New Roman" w:hAnsi="Times New Roman" w:cs="Times New Roman"/>
                <w:lang w:val="en-GB" w:eastAsia="en-GB"/>
              </w:rPr>
            </w:pPr>
            <w:r w:rsidRPr="585A92EA">
              <w:rPr>
                <w:rFonts w:eastAsia="Times New Roman" w:cs="Times New Roman"/>
                <w:color w:val="000000" w:themeColor="text1"/>
                <w:lang w:val="en-GB" w:eastAsia="en-GB"/>
              </w:rPr>
              <w:t>£30,478.50 full time equivalent  </w:t>
            </w:r>
          </w:p>
        </w:tc>
      </w:tr>
      <w:tr w:rsidR="007D2CB0" w:rsidRPr="007D2CB0" w14:paraId="244C96A0" w14:textId="77777777">
        <w:trPr>
          <w:trHeight w:val="285"/>
        </w:trPr>
        <w:tc>
          <w:tcPr>
            <w:tcW w:w="2520" w:type="dxa"/>
            <w:tcBorders>
              <w:top w:val="single" w:sz="6" w:space="0" w:color="auto"/>
              <w:left w:val="single" w:sz="6" w:space="0" w:color="auto"/>
              <w:bottom w:val="single" w:sz="6" w:space="0" w:color="auto"/>
              <w:right w:val="single" w:sz="6" w:space="0" w:color="auto"/>
            </w:tcBorders>
            <w:hideMark/>
          </w:tcPr>
          <w:p w14:paraId="09561522" w14:textId="77777777" w:rsidR="007D2CB0" w:rsidRPr="007D2CB0" w:rsidRDefault="007D2CB0" w:rsidP="007D2CB0">
            <w:pPr>
              <w:spacing w:beforeAutospacing="1" w:after="0" w:afterAutospacing="1" w:line="240" w:lineRule="auto"/>
              <w:textAlignment w:val="baseline"/>
              <w:rPr>
                <w:rFonts w:ascii="Times New Roman" w:eastAsia="Times New Roman" w:hAnsi="Times New Roman" w:cs="Times New Roman"/>
                <w:szCs w:val="24"/>
                <w:lang w:val="en-GB" w:eastAsia="en-GB"/>
              </w:rPr>
            </w:pPr>
            <w:r w:rsidRPr="007D2CB0">
              <w:rPr>
                <w:rFonts w:eastAsia="Times New Roman" w:cs="Times New Roman"/>
                <w:b/>
                <w:bCs/>
                <w:color w:val="000000"/>
                <w:szCs w:val="24"/>
                <w:lang w:val="en-GB" w:eastAsia="en-GB"/>
              </w:rPr>
              <w:t>Place of work</w:t>
            </w:r>
            <w:r w:rsidRPr="007D2CB0">
              <w:rPr>
                <w:rFonts w:eastAsia="Times New Roman" w:cs="Times New Roman"/>
                <w:color w:val="000000"/>
                <w:szCs w:val="24"/>
                <w:lang w:val="en-GB" w:eastAsia="en-GB"/>
              </w:rPr>
              <w:t> </w:t>
            </w:r>
          </w:p>
        </w:tc>
        <w:tc>
          <w:tcPr>
            <w:tcW w:w="6405" w:type="dxa"/>
            <w:tcBorders>
              <w:top w:val="single" w:sz="6" w:space="0" w:color="auto"/>
              <w:left w:val="single" w:sz="6" w:space="0" w:color="auto"/>
              <w:bottom w:val="single" w:sz="6" w:space="0" w:color="auto"/>
              <w:right w:val="single" w:sz="6" w:space="0" w:color="auto"/>
            </w:tcBorders>
            <w:hideMark/>
          </w:tcPr>
          <w:p w14:paraId="46757D16" w14:textId="7D755119" w:rsidR="007D2CB0" w:rsidRPr="004511B5" w:rsidRDefault="009E1E8B" w:rsidP="007D2CB0">
            <w:pPr>
              <w:spacing w:beforeAutospacing="1" w:after="0" w:afterAutospacing="1" w:line="240" w:lineRule="auto"/>
              <w:textAlignment w:val="baseline"/>
              <w:rPr>
                <w:rFonts w:ascii="Times New Roman" w:eastAsia="Times New Roman" w:hAnsi="Times New Roman" w:cs="Times New Roman"/>
                <w:szCs w:val="24"/>
                <w:lang w:val="en-GB" w:eastAsia="en-GB"/>
              </w:rPr>
            </w:pPr>
            <w:r>
              <w:rPr>
                <w:rFonts w:eastAsia="Times New Roman" w:cs="Times New Roman"/>
                <w:color w:val="000000"/>
                <w:szCs w:val="24"/>
                <w:lang w:val="en-GB" w:eastAsia="en-GB"/>
              </w:rPr>
              <w:t>Partington Library and wellbeing Centre</w:t>
            </w:r>
            <w:r w:rsidR="007D2CB0" w:rsidRPr="004511B5">
              <w:rPr>
                <w:rFonts w:eastAsia="Times New Roman" w:cs="Times New Roman"/>
                <w:color w:val="000000"/>
                <w:szCs w:val="24"/>
                <w:lang w:val="en-GB" w:eastAsia="en-GB"/>
              </w:rPr>
              <w:t> </w:t>
            </w:r>
          </w:p>
        </w:tc>
      </w:tr>
      <w:tr w:rsidR="007D2CB0" w:rsidRPr="007D2CB0" w14:paraId="67D202D9" w14:textId="77777777">
        <w:trPr>
          <w:trHeight w:val="285"/>
        </w:trPr>
        <w:tc>
          <w:tcPr>
            <w:tcW w:w="2520" w:type="dxa"/>
            <w:tcBorders>
              <w:top w:val="single" w:sz="6" w:space="0" w:color="auto"/>
              <w:left w:val="single" w:sz="6" w:space="0" w:color="auto"/>
              <w:bottom w:val="single" w:sz="6" w:space="0" w:color="auto"/>
              <w:right w:val="single" w:sz="6" w:space="0" w:color="auto"/>
            </w:tcBorders>
            <w:hideMark/>
          </w:tcPr>
          <w:p w14:paraId="293B459A" w14:textId="77777777" w:rsidR="007D2CB0" w:rsidRPr="007D2CB0" w:rsidRDefault="007D2CB0" w:rsidP="007D2CB0">
            <w:pPr>
              <w:spacing w:beforeAutospacing="1" w:after="0" w:afterAutospacing="1" w:line="240" w:lineRule="auto"/>
              <w:textAlignment w:val="baseline"/>
              <w:rPr>
                <w:rFonts w:ascii="Times New Roman" w:eastAsia="Times New Roman" w:hAnsi="Times New Roman" w:cs="Times New Roman"/>
                <w:szCs w:val="24"/>
                <w:lang w:val="en-GB" w:eastAsia="en-GB"/>
              </w:rPr>
            </w:pPr>
            <w:r w:rsidRPr="007D2CB0">
              <w:rPr>
                <w:rFonts w:eastAsia="Times New Roman" w:cs="Times New Roman"/>
                <w:b/>
                <w:bCs/>
                <w:color w:val="000000"/>
                <w:szCs w:val="24"/>
                <w:lang w:val="en-GB" w:eastAsia="en-GB"/>
              </w:rPr>
              <w:t>Reports to</w:t>
            </w:r>
            <w:r w:rsidRPr="007D2CB0">
              <w:rPr>
                <w:rFonts w:eastAsia="Times New Roman" w:cs="Times New Roman"/>
                <w:color w:val="000000"/>
                <w:szCs w:val="24"/>
                <w:lang w:val="en-GB" w:eastAsia="en-GB"/>
              </w:rPr>
              <w:t> </w:t>
            </w:r>
          </w:p>
        </w:tc>
        <w:tc>
          <w:tcPr>
            <w:tcW w:w="6405" w:type="dxa"/>
            <w:tcBorders>
              <w:top w:val="single" w:sz="6" w:space="0" w:color="auto"/>
              <w:left w:val="single" w:sz="6" w:space="0" w:color="auto"/>
              <w:bottom w:val="single" w:sz="6" w:space="0" w:color="auto"/>
              <w:right w:val="single" w:sz="6" w:space="0" w:color="auto"/>
            </w:tcBorders>
            <w:hideMark/>
          </w:tcPr>
          <w:p w14:paraId="61E9F7BD" w14:textId="77777777" w:rsidR="007D2CB0" w:rsidRPr="004511B5" w:rsidRDefault="007D2CB0" w:rsidP="007D2CB0">
            <w:pPr>
              <w:spacing w:after="0" w:line="240" w:lineRule="auto"/>
              <w:textAlignment w:val="baseline"/>
              <w:rPr>
                <w:rFonts w:ascii="Times New Roman" w:eastAsia="Times New Roman" w:hAnsi="Times New Roman" w:cs="Times New Roman"/>
                <w:szCs w:val="24"/>
                <w:lang w:val="en-GB" w:eastAsia="en-GB"/>
              </w:rPr>
            </w:pPr>
            <w:r w:rsidRPr="004511B5">
              <w:rPr>
                <w:rFonts w:eastAsia="Times New Roman" w:cs="Times New Roman"/>
                <w:color w:val="000000"/>
                <w:szCs w:val="24"/>
                <w:lang w:val="en-GB" w:eastAsia="en-GB"/>
              </w:rPr>
              <w:t>Wellbeing Centre Manager </w:t>
            </w:r>
          </w:p>
        </w:tc>
      </w:tr>
    </w:tbl>
    <w:p w14:paraId="7EC41BF7" w14:textId="77777777" w:rsidR="007D2CB0" w:rsidRPr="007D2CB0" w:rsidRDefault="007D2CB0" w:rsidP="007D2CB0">
      <w:pPr>
        <w:pBdr>
          <w:bottom w:val="single" w:sz="12" w:space="1" w:color="auto"/>
        </w:pBdr>
        <w:spacing w:after="0" w:line="240" w:lineRule="auto"/>
        <w:textAlignment w:val="baseline"/>
        <w:rPr>
          <w:rFonts w:ascii="Segoe UI" w:eastAsia="Times New Roman" w:hAnsi="Segoe UI" w:cs="Segoe UI"/>
          <w:sz w:val="18"/>
          <w:szCs w:val="18"/>
          <w:lang w:val="en-GB" w:eastAsia="en-GB"/>
        </w:rPr>
      </w:pPr>
      <w:r w:rsidRPr="007D2CB0">
        <w:rPr>
          <w:rFonts w:ascii="Arial" w:eastAsia="Times New Roman" w:hAnsi="Arial" w:cs="Arial"/>
          <w:sz w:val="16"/>
          <w:szCs w:val="16"/>
          <w:lang w:val="en-GB" w:eastAsia="en-GB"/>
        </w:rPr>
        <w:t> </w:t>
      </w:r>
      <w:r w:rsidRPr="007D2CB0">
        <w:rPr>
          <w:rFonts w:eastAsia="Times New Roman" w:cs="Segoe UI"/>
          <w:sz w:val="16"/>
          <w:szCs w:val="16"/>
          <w:bdr w:val="none" w:sz="0" w:space="0" w:color="auto" w:frame="1"/>
          <w:shd w:val="clear" w:color="auto" w:fill="C6C6C6"/>
          <w:lang w:val="en-GB" w:eastAsia="en-GB"/>
        </w:rPr>
        <w:t> </w:t>
      </w:r>
    </w:p>
    <w:p w14:paraId="32291897" w14:textId="0840B4D5" w:rsidR="007017C7" w:rsidRDefault="007017C7" w:rsidP="00592683">
      <w:pPr>
        <w:pStyle w:val="Heading1"/>
        <w:rPr>
          <w:rFonts w:ascii="Segoe UI" w:eastAsia="Times New Roman" w:hAnsi="Segoe UI"/>
          <w:sz w:val="18"/>
          <w:szCs w:val="18"/>
          <w:lang w:val="en-GB"/>
        </w:rPr>
      </w:pPr>
      <w:r w:rsidRPr="00592683">
        <w:rPr>
          <w:rStyle w:val="normaltextrun"/>
        </w:rPr>
        <w:t>About</w:t>
      </w:r>
      <w:r>
        <w:rPr>
          <w:rStyle w:val="normaltextrun"/>
          <w:rFonts w:ascii="Aptos Display" w:hAnsi="Aptos Display" w:cs="Segoe UI"/>
          <w:color w:val="0F4761"/>
          <w:sz w:val="32"/>
          <w:szCs w:val="32"/>
        </w:rPr>
        <w:t xml:space="preserve"> </w:t>
      </w:r>
      <w:r w:rsidRPr="00592683">
        <w:rPr>
          <w:rStyle w:val="normaltextrun"/>
        </w:rPr>
        <w:t>Bluesci</w:t>
      </w:r>
      <w:r w:rsidRPr="00592683">
        <w:rPr>
          <w:rStyle w:val="normaltextrun"/>
          <w:rFonts w:ascii="Arial" w:hAnsi="Arial" w:cs="Arial"/>
        </w:rPr>
        <w:t> </w:t>
      </w:r>
    </w:p>
    <w:p w14:paraId="59DE0275" w14:textId="3566064D" w:rsidR="007017C7" w:rsidRPr="007017C7" w:rsidRDefault="007017C7" w:rsidP="007017C7">
      <w:pPr>
        <w:rPr>
          <w:rFonts w:ascii="Segoe UI" w:hAnsi="Segoe UI"/>
          <w:sz w:val="18"/>
          <w:szCs w:val="18"/>
        </w:rPr>
      </w:pPr>
      <w:r>
        <w:rPr>
          <w:rStyle w:val="normaltextrun"/>
          <w:rFonts w:cs="Segoe UI"/>
        </w:rPr>
        <w:t>At Bluesci, we believe that everyone deserves good mental health and wellbeing. Our staff and volunteers, many of whom have experienced our services, collaborate with individuals and their communities to help them achieve their aspirations and wellness.</w:t>
      </w:r>
      <w:r>
        <w:rPr>
          <w:rStyle w:val="normaltextrun"/>
          <w:rFonts w:ascii="Arial" w:hAnsi="Arial" w:cs="Arial"/>
        </w:rPr>
        <w:t>  </w:t>
      </w:r>
    </w:p>
    <w:p w14:paraId="351136B8" w14:textId="5568674C" w:rsidR="007017C7" w:rsidRDefault="007017C7" w:rsidP="007017C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Bluesci operates across the borough of Trafford from four Wellbeing Centres, offering arts, cultural and volunteering opportunities, social prescribing, talking therapies, and group support. We partner with Greater Manchester Mental Health Trust (GMMH) to deliver Trafford Living Well and with Trafford Libraries to co-deliver library services from two of our centres and Bluesci at Night offers a safe, welcoming space for people 365 nights a year, and we also provide Smoking Cessation Support.</w:t>
      </w:r>
      <w:r>
        <w:rPr>
          <w:rStyle w:val="normaltextrun"/>
          <w:rFonts w:ascii="Arial" w:hAnsi="Arial" w:cs="Arial"/>
        </w:rPr>
        <w:t> </w:t>
      </w:r>
    </w:p>
    <w:p w14:paraId="0CEC983D" w14:textId="0ACAF031" w:rsidR="00495DA6" w:rsidRPr="00495DA6" w:rsidRDefault="00495DA6" w:rsidP="00592683">
      <w:pPr>
        <w:pStyle w:val="Heading1"/>
        <w:rPr>
          <w:lang w:val="en-GB"/>
        </w:rPr>
      </w:pPr>
      <w:r w:rsidRPr="00495DA6">
        <w:rPr>
          <w:lang w:val="en-GB"/>
        </w:rPr>
        <w:t>Job Purpose and Summary</w:t>
      </w:r>
    </w:p>
    <w:p w14:paraId="5D9CFC59" w14:textId="73FE1526" w:rsidR="00495DA6" w:rsidRDefault="00495DA6" w:rsidP="00495DA6">
      <w:pPr>
        <w:rPr>
          <w:lang w:val="en-GB"/>
        </w:rPr>
      </w:pPr>
      <w:r w:rsidRPr="00495DA6">
        <w:rPr>
          <w:lang w:val="en-GB"/>
        </w:rPr>
        <w:t xml:space="preserve">Wellbeing Practitioners are part of an integrated team at our Wellbeing Centres, providing personalised, person-centred support to individuals experiencing mental health challenges, long-term conditions, and other barriers affecting their wellbeing and quality of life. </w:t>
      </w:r>
    </w:p>
    <w:p w14:paraId="6BC2BD52" w14:textId="48291368" w:rsidR="00495DA6" w:rsidRPr="00495DA6" w:rsidRDefault="00C75130" w:rsidP="00495DA6">
      <w:pPr>
        <w:rPr>
          <w:lang w:val="en-GB"/>
        </w:rPr>
      </w:pPr>
      <w:r>
        <w:rPr>
          <w:lang w:val="en-GB"/>
        </w:rPr>
        <w:t>T</w:t>
      </w:r>
      <w:r w:rsidRPr="00495DA6">
        <w:rPr>
          <w:lang w:val="en-GB"/>
        </w:rPr>
        <w:t>his role delivers Work</w:t>
      </w:r>
      <w:r>
        <w:rPr>
          <w:lang w:val="en-GB"/>
        </w:rPr>
        <w:t xml:space="preserve"> </w:t>
      </w:r>
      <w:r w:rsidRPr="00495DA6">
        <w:rPr>
          <w:lang w:val="en-GB"/>
        </w:rPr>
        <w:t>Well outcomes through a recovery-focused wellbeing model, ensuring people are supported holistically to achieve sustainable employment alongside improved mental health.</w:t>
      </w:r>
      <w:r>
        <w:rPr>
          <w:lang w:val="en-GB"/>
        </w:rPr>
        <w:t xml:space="preserve"> T</w:t>
      </w:r>
      <w:r w:rsidR="00495DA6" w:rsidRPr="00495DA6">
        <w:rPr>
          <w:lang w:val="en-GB"/>
        </w:rPr>
        <w:t xml:space="preserve">his role </w:t>
      </w:r>
      <w:r>
        <w:rPr>
          <w:lang w:val="en-GB"/>
        </w:rPr>
        <w:t>includes</w:t>
      </w:r>
      <w:r w:rsidR="00495DA6" w:rsidRPr="00495DA6">
        <w:rPr>
          <w:lang w:val="en-GB"/>
        </w:rPr>
        <w:t xml:space="preserve"> a </w:t>
      </w:r>
      <w:r w:rsidR="00495DA6" w:rsidRPr="00C75130">
        <w:rPr>
          <w:lang w:val="en-GB"/>
        </w:rPr>
        <w:t>specific focus on supporting individuals to sustain employment, return to work, or move closer to the labour market, recognising the strong relationship between health, wellbein</w:t>
      </w:r>
      <w:r w:rsidR="00495DA6" w:rsidRPr="00495DA6">
        <w:rPr>
          <w:lang w:val="en-GB"/>
        </w:rPr>
        <w:t>g and good work.</w:t>
      </w:r>
    </w:p>
    <w:p w14:paraId="28E5EF8C" w14:textId="77777777" w:rsidR="00495DA6" w:rsidRPr="00495DA6" w:rsidRDefault="00495DA6" w:rsidP="00495DA6">
      <w:pPr>
        <w:rPr>
          <w:lang w:val="en-GB"/>
        </w:rPr>
      </w:pPr>
      <w:r w:rsidRPr="00495DA6">
        <w:rPr>
          <w:lang w:val="en-GB"/>
        </w:rPr>
        <w:lastRenderedPageBreak/>
        <w:t>The postholder will work collaboratively with individuals to identify their personal wellbeing goals and aspirations, including where appropriate employment-related outcomes, and support them to build confidence, resilience, and practical pathways forward.</w:t>
      </w:r>
    </w:p>
    <w:p w14:paraId="182391F9" w14:textId="0287BBE4" w:rsidR="00495DA6" w:rsidRPr="00495DA6" w:rsidRDefault="00495DA6" w:rsidP="00495DA6">
      <w:pPr>
        <w:rPr>
          <w:lang w:val="en-GB"/>
        </w:rPr>
      </w:pPr>
      <w:r w:rsidRPr="00495DA6">
        <w:rPr>
          <w:lang w:val="en-GB"/>
        </w:rPr>
        <w:t xml:space="preserve">This role combines </w:t>
      </w:r>
      <w:r w:rsidRPr="00592683">
        <w:rPr>
          <w:lang w:val="en-GB"/>
        </w:rPr>
        <w:t>Bluesci’s recovery-focused, social prescribing approach</w:t>
      </w:r>
      <w:r w:rsidRPr="00495DA6">
        <w:rPr>
          <w:lang w:val="en-GB"/>
        </w:rPr>
        <w:t xml:space="preserve"> with </w:t>
      </w:r>
      <w:r w:rsidR="00592683">
        <w:rPr>
          <w:lang w:val="en-GB"/>
        </w:rPr>
        <w:t xml:space="preserve">the key </w:t>
      </w:r>
      <w:r w:rsidRPr="00495DA6">
        <w:rPr>
          <w:lang w:val="en-GB"/>
        </w:rPr>
        <w:t>elements of the Work</w:t>
      </w:r>
      <w:r w:rsidR="00D475F8">
        <w:rPr>
          <w:lang w:val="en-GB"/>
        </w:rPr>
        <w:t xml:space="preserve"> </w:t>
      </w:r>
      <w:r w:rsidRPr="00495DA6">
        <w:rPr>
          <w:lang w:val="en-GB"/>
        </w:rPr>
        <w:t>Well model, providing holistic support that addresses both wellbeing and work-related barriers.</w:t>
      </w:r>
    </w:p>
    <w:p w14:paraId="4E6B6B20" w14:textId="26130241" w:rsidR="00495DA6" w:rsidRPr="00495DA6" w:rsidRDefault="00495DA6" w:rsidP="00D475F8">
      <w:pPr>
        <w:pStyle w:val="Heading1"/>
        <w:rPr>
          <w:lang w:val="en-GB"/>
        </w:rPr>
      </w:pPr>
      <w:r w:rsidRPr="00495DA6">
        <w:rPr>
          <w:lang w:val="en-GB"/>
        </w:rPr>
        <w:t>Key Responsibilities</w:t>
      </w:r>
    </w:p>
    <w:p w14:paraId="09F97F4C" w14:textId="29CDD59F" w:rsidR="00495DA6" w:rsidRPr="00495DA6" w:rsidRDefault="00495DA6" w:rsidP="00D475F8">
      <w:pPr>
        <w:pStyle w:val="Heading2"/>
        <w:rPr>
          <w:lang w:val="en-GB"/>
        </w:rPr>
      </w:pPr>
      <w:r w:rsidRPr="00495DA6">
        <w:rPr>
          <w:lang w:val="en-GB"/>
        </w:rPr>
        <w:t>Wellbeing and Recovery Support (Core Role)</w:t>
      </w:r>
    </w:p>
    <w:p w14:paraId="439543D3" w14:textId="0AFA828C" w:rsidR="00495DA6" w:rsidRPr="0063496B" w:rsidRDefault="00495DA6" w:rsidP="0063496B">
      <w:pPr>
        <w:pStyle w:val="ListParagraph"/>
        <w:numPr>
          <w:ilvl w:val="0"/>
          <w:numId w:val="18"/>
        </w:numPr>
        <w:rPr>
          <w:lang w:val="en-GB"/>
        </w:rPr>
      </w:pPr>
      <w:r w:rsidRPr="0063496B">
        <w:rPr>
          <w:lang w:val="en-GB"/>
        </w:rPr>
        <w:t xml:space="preserve">Carry a caseload of individuals and provide personalised, person-centred support over an agreed timeframe </w:t>
      </w:r>
    </w:p>
    <w:p w14:paraId="5057DEDA" w14:textId="77777777" w:rsidR="00495DA6" w:rsidRPr="0063496B" w:rsidRDefault="00495DA6" w:rsidP="0063496B">
      <w:pPr>
        <w:pStyle w:val="ListParagraph"/>
        <w:numPr>
          <w:ilvl w:val="0"/>
          <w:numId w:val="18"/>
        </w:numPr>
        <w:rPr>
          <w:lang w:val="en-GB"/>
        </w:rPr>
      </w:pPr>
      <w:r w:rsidRPr="0063496B">
        <w:rPr>
          <w:lang w:val="en-GB"/>
        </w:rPr>
        <w:t>Work collaboratively with individuals to develop wellbeing-focused action plans, including goals around confidence, social connection, and self-management</w:t>
      </w:r>
    </w:p>
    <w:p w14:paraId="560D2BEF" w14:textId="77777777" w:rsidR="00495DA6" w:rsidRPr="0063496B" w:rsidRDefault="00495DA6" w:rsidP="0063496B">
      <w:pPr>
        <w:pStyle w:val="ListParagraph"/>
        <w:numPr>
          <w:ilvl w:val="0"/>
          <w:numId w:val="18"/>
        </w:numPr>
        <w:rPr>
          <w:lang w:val="en-GB"/>
        </w:rPr>
      </w:pPr>
      <w:r w:rsidRPr="0063496B">
        <w:rPr>
          <w:lang w:val="en-GB"/>
        </w:rPr>
        <w:t>Provide flexible support (face-to-face, telephone, online) tailored to individual needs</w:t>
      </w:r>
    </w:p>
    <w:p w14:paraId="525B4863" w14:textId="77777777" w:rsidR="00495DA6" w:rsidRPr="0063496B" w:rsidRDefault="00495DA6" w:rsidP="0063496B">
      <w:pPr>
        <w:pStyle w:val="ListParagraph"/>
        <w:numPr>
          <w:ilvl w:val="0"/>
          <w:numId w:val="18"/>
        </w:numPr>
        <w:rPr>
          <w:lang w:val="en-GB"/>
        </w:rPr>
      </w:pPr>
      <w:r w:rsidRPr="0063496B">
        <w:rPr>
          <w:lang w:val="en-GB"/>
        </w:rPr>
        <w:t>Support individuals to access community activities, peer support, volunteering opportunities and local services</w:t>
      </w:r>
    </w:p>
    <w:p w14:paraId="12F4F2A2" w14:textId="77777777" w:rsidR="00495DA6" w:rsidRPr="0063496B" w:rsidRDefault="00495DA6" w:rsidP="0063496B">
      <w:pPr>
        <w:pStyle w:val="ListParagraph"/>
        <w:numPr>
          <w:ilvl w:val="0"/>
          <w:numId w:val="18"/>
        </w:numPr>
        <w:rPr>
          <w:lang w:val="en-GB"/>
        </w:rPr>
      </w:pPr>
      <w:r w:rsidRPr="0063496B">
        <w:rPr>
          <w:lang w:val="en-GB"/>
        </w:rPr>
        <w:t>Promote self-care, resilience and independence</w:t>
      </w:r>
    </w:p>
    <w:p w14:paraId="3A8F2879" w14:textId="6139BAD4" w:rsidR="00495DA6" w:rsidRPr="00495DA6" w:rsidRDefault="00495DA6" w:rsidP="00D475F8">
      <w:pPr>
        <w:pStyle w:val="Heading2"/>
        <w:rPr>
          <w:lang w:val="en-GB"/>
        </w:rPr>
      </w:pPr>
      <w:r w:rsidRPr="00495DA6">
        <w:rPr>
          <w:lang w:val="en-GB"/>
        </w:rPr>
        <w:t>Work &amp; Wellbeing Support (Work</w:t>
      </w:r>
      <w:r w:rsidR="00D475F8">
        <w:rPr>
          <w:lang w:val="en-GB"/>
        </w:rPr>
        <w:t xml:space="preserve"> </w:t>
      </w:r>
      <w:r w:rsidRPr="00495DA6">
        <w:rPr>
          <w:lang w:val="en-GB"/>
        </w:rPr>
        <w:t>Well)</w:t>
      </w:r>
    </w:p>
    <w:p w14:paraId="21108B37" w14:textId="7EC14CA6" w:rsidR="00495DA6" w:rsidRPr="0063496B" w:rsidRDefault="00495DA6" w:rsidP="0063496B">
      <w:pPr>
        <w:pStyle w:val="ListParagraph"/>
        <w:numPr>
          <w:ilvl w:val="0"/>
          <w:numId w:val="19"/>
        </w:numPr>
        <w:rPr>
          <w:lang w:val="en-GB"/>
        </w:rPr>
      </w:pPr>
      <w:r w:rsidRPr="0063496B">
        <w:rPr>
          <w:lang w:val="en-GB"/>
        </w:rPr>
        <w:t xml:space="preserve">Support individuals to </w:t>
      </w:r>
      <w:r w:rsidRPr="0063496B">
        <w:rPr>
          <w:b/>
          <w:bCs/>
          <w:lang w:val="en-GB"/>
        </w:rPr>
        <w:t>identify and address barriers to employment</w:t>
      </w:r>
      <w:r w:rsidRPr="0063496B">
        <w:rPr>
          <w:lang w:val="en-GB"/>
        </w:rPr>
        <w:t xml:space="preserve">, including health, confidence, skills and practical </w:t>
      </w:r>
    </w:p>
    <w:p w14:paraId="12B98DFB" w14:textId="77777777" w:rsidR="00495DA6" w:rsidRPr="0063496B" w:rsidRDefault="00495DA6" w:rsidP="0063496B">
      <w:pPr>
        <w:pStyle w:val="ListParagraph"/>
        <w:numPr>
          <w:ilvl w:val="0"/>
          <w:numId w:val="19"/>
        </w:numPr>
        <w:rPr>
          <w:lang w:val="en-GB"/>
        </w:rPr>
      </w:pPr>
      <w:r w:rsidRPr="0063496B">
        <w:rPr>
          <w:lang w:val="en-GB"/>
        </w:rPr>
        <w:t xml:space="preserve">Co-produce </w:t>
      </w:r>
      <w:r w:rsidRPr="0063496B">
        <w:rPr>
          <w:b/>
          <w:bCs/>
          <w:lang w:val="en-GB"/>
        </w:rPr>
        <w:t>“work and wellbeing” plans</w:t>
      </w:r>
      <w:r w:rsidRPr="0063496B">
        <w:rPr>
          <w:lang w:val="en-GB"/>
        </w:rPr>
        <w:t xml:space="preserve">, which may include: </w:t>
      </w:r>
    </w:p>
    <w:p w14:paraId="73889738" w14:textId="77777777" w:rsidR="00495DA6" w:rsidRPr="0063496B" w:rsidRDefault="00495DA6" w:rsidP="0063496B">
      <w:pPr>
        <w:pStyle w:val="ListParagraph"/>
        <w:numPr>
          <w:ilvl w:val="1"/>
          <w:numId w:val="19"/>
        </w:numPr>
        <w:rPr>
          <w:lang w:val="en-GB"/>
        </w:rPr>
      </w:pPr>
      <w:r w:rsidRPr="0063496B">
        <w:rPr>
          <w:lang w:val="en-GB"/>
        </w:rPr>
        <w:t>sustaining current employment</w:t>
      </w:r>
    </w:p>
    <w:p w14:paraId="5A1E32A8" w14:textId="77777777" w:rsidR="00495DA6" w:rsidRPr="0063496B" w:rsidRDefault="00495DA6" w:rsidP="0063496B">
      <w:pPr>
        <w:pStyle w:val="ListParagraph"/>
        <w:numPr>
          <w:ilvl w:val="1"/>
          <w:numId w:val="19"/>
        </w:numPr>
        <w:rPr>
          <w:lang w:val="en-GB"/>
        </w:rPr>
      </w:pPr>
      <w:r w:rsidRPr="0063496B">
        <w:rPr>
          <w:lang w:val="en-GB"/>
        </w:rPr>
        <w:t>returning to work</w:t>
      </w:r>
    </w:p>
    <w:p w14:paraId="538A45D9" w14:textId="77777777" w:rsidR="00495DA6" w:rsidRPr="0063496B" w:rsidRDefault="00495DA6" w:rsidP="0063496B">
      <w:pPr>
        <w:pStyle w:val="ListParagraph"/>
        <w:numPr>
          <w:ilvl w:val="1"/>
          <w:numId w:val="19"/>
        </w:numPr>
        <w:rPr>
          <w:lang w:val="en-GB"/>
        </w:rPr>
      </w:pPr>
      <w:r w:rsidRPr="0063496B">
        <w:rPr>
          <w:lang w:val="en-GB"/>
        </w:rPr>
        <w:t>moving closer to the labour market</w:t>
      </w:r>
    </w:p>
    <w:p w14:paraId="7AA68878" w14:textId="77777777" w:rsidR="00495DA6" w:rsidRPr="0063496B" w:rsidRDefault="00495DA6" w:rsidP="0063496B">
      <w:pPr>
        <w:pStyle w:val="ListParagraph"/>
        <w:numPr>
          <w:ilvl w:val="0"/>
          <w:numId w:val="19"/>
        </w:numPr>
        <w:rPr>
          <w:lang w:val="en-GB"/>
        </w:rPr>
      </w:pPr>
      <w:r w:rsidRPr="0063496B">
        <w:rPr>
          <w:lang w:val="en-GB"/>
        </w:rPr>
        <w:t xml:space="preserve">Support individuals to: </w:t>
      </w:r>
    </w:p>
    <w:p w14:paraId="61CE6059" w14:textId="77777777" w:rsidR="00495DA6" w:rsidRPr="0063496B" w:rsidRDefault="00495DA6" w:rsidP="0063496B">
      <w:pPr>
        <w:pStyle w:val="ListParagraph"/>
        <w:numPr>
          <w:ilvl w:val="1"/>
          <w:numId w:val="19"/>
        </w:numPr>
        <w:rPr>
          <w:lang w:val="en-GB"/>
        </w:rPr>
      </w:pPr>
      <w:r w:rsidRPr="0063496B">
        <w:rPr>
          <w:lang w:val="en-GB"/>
        </w:rPr>
        <w:t>access employment, skills and training opportunities</w:t>
      </w:r>
    </w:p>
    <w:p w14:paraId="455320CE" w14:textId="77777777" w:rsidR="00495DA6" w:rsidRPr="0063496B" w:rsidRDefault="00495DA6" w:rsidP="0063496B">
      <w:pPr>
        <w:pStyle w:val="ListParagraph"/>
        <w:numPr>
          <w:ilvl w:val="1"/>
          <w:numId w:val="19"/>
        </w:numPr>
        <w:rPr>
          <w:lang w:val="en-GB"/>
        </w:rPr>
      </w:pPr>
      <w:r w:rsidRPr="0063496B">
        <w:rPr>
          <w:lang w:val="en-GB"/>
        </w:rPr>
        <w:t>prepare for work (confidence building, routines, goal setting)</w:t>
      </w:r>
    </w:p>
    <w:p w14:paraId="211E5CF3" w14:textId="77777777" w:rsidR="00495DA6" w:rsidRPr="0063496B" w:rsidRDefault="00495DA6" w:rsidP="0063496B">
      <w:pPr>
        <w:pStyle w:val="ListParagraph"/>
        <w:numPr>
          <w:ilvl w:val="1"/>
          <w:numId w:val="19"/>
        </w:numPr>
        <w:rPr>
          <w:lang w:val="en-GB"/>
        </w:rPr>
      </w:pPr>
      <w:r w:rsidRPr="0063496B">
        <w:rPr>
          <w:lang w:val="en-GB"/>
        </w:rPr>
        <w:t>navigate workplace challenges and adjustments</w:t>
      </w:r>
    </w:p>
    <w:p w14:paraId="24E08F26" w14:textId="49382ACC" w:rsidR="00495DA6" w:rsidRPr="0063496B" w:rsidRDefault="00495DA6" w:rsidP="0063496B">
      <w:pPr>
        <w:pStyle w:val="ListParagraph"/>
        <w:numPr>
          <w:ilvl w:val="0"/>
          <w:numId w:val="19"/>
        </w:numPr>
        <w:rPr>
          <w:lang w:val="en-GB"/>
        </w:rPr>
      </w:pPr>
      <w:r w:rsidRPr="0063496B">
        <w:rPr>
          <w:lang w:val="en-GB"/>
        </w:rPr>
        <w:t>Provide practical support where appropriate (e.g. forms, appointments, liaison or advocacy with services)%20Work%20Well%20Trafford%20</w:t>
      </w:r>
    </w:p>
    <w:p w14:paraId="55E07979" w14:textId="77777777" w:rsidR="00495DA6" w:rsidRPr="0063496B" w:rsidRDefault="00495DA6" w:rsidP="0063496B">
      <w:pPr>
        <w:pStyle w:val="ListParagraph"/>
        <w:numPr>
          <w:ilvl w:val="0"/>
          <w:numId w:val="19"/>
        </w:numPr>
        <w:rPr>
          <w:lang w:val="en-GB"/>
        </w:rPr>
      </w:pPr>
      <w:r w:rsidRPr="0063496B">
        <w:rPr>
          <w:lang w:val="en-GB"/>
        </w:rPr>
        <w:t>Work in partnership with employment, health and community services to create joined-up pathways</w:t>
      </w:r>
    </w:p>
    <w:p w14:paraId="1FA0FA8A" w14:textId="5FAC2827" w:rsidR="00495DA6" w:rsidRPr="00495DA6" w:rsidRDefault="00495DA6" w:rsidP="00495DA6">
      <w:pPr>
        <w:rPr>
          <w:lang w:val="en-GB"/>
        </w:rPr>
      </w:pPr>
    </w:p>
    <w:p w14:paraId="7DB842F7" w14:textId="4B527E38" w:rsidR="00495DA6" w:rsidRPr="00495DA6" w:rsidRDefault="00495DA6" w:rsidP="00C75130">
      <w:pPr>
        <w:pStyle w:val="Heading2"/>
        <w:rPr>
          <w:lang w:val="en-GB"/>
        </w:rPr>
      </w:pPr>
      <w:r w:rsidRPr="00495DA6">
        <w:rPr>
          <w:lang w:val="en-GB"/>
        </w:rPr>
        <w:lastRenderedPageBreak/>
        <w:t>Navigation, Partnerships and System Working</w:t>
      </w:r>
    </w:p>
    <w:p w14:paraId="20EDFED6" w14:textId="3AF9F7E0" w:rsidR="00495DA6" w:rsidRPr="00C75130" w:rsidRDefault="00495DA6" w:rsidP="00C75130">
      <w:pPr>
        <w:pStyle w:val="ListParagraph"/>
        <w:numPr>
          <w:ilvl w:val="0"/>
          <w:numId w:val="10"/>
        </w:numPr>
        <w:rPr>
          <w:lang w:val="en-GB"/>
        </w:rPr>
      </w:pPr>
      <w:r w:rsidRPr="00C75130">
        <w:rPr>
          <w:lang w:val="en-GB"/>
        </w:rPr>
        <w:t xml:space="preserve">Build strong relationships with local partners including health services, VCFSE organisations, employment services and community groups%20Work%20Well%20Trafford%20-%20Key%20Worker%20JD-PS%20(002).pdf) </w:t>
      </w:r>
    </w:p>
    <w:p w14:paraId="65560A04" w14:textId="77777777" w:rsidR="00495DA6" w:rsidRPr="00C75130" w:rsidRDefault="00495DA6" w:rsidP="00C75130">
      <w:pPr>
        <w:pStyle w:val="ListParagraph"/>
        <w:numPr>
          <w:ilvl w:val="0"/>
          <w:numId w:val="10"/>
        </w:numPr>
        <w:rPr>
          <w:lang w:val="en-GB"/>
        </w:rPr>
      </w:pPr>
      <w:r w:rsidRPr="00C75130">
        <w:rPr>
          <w:lang w:val="en-GB"/>
        </w:rPr>
        <w:t>Support individuals to navigate systems and access appropriate services</w:t>
      </w:r>
    </w:p>
    <w:p w14:paraId="30CB3716" w14:textId="77777777" w:rsidR="00495DA6" w:rsidRPr="00C75130" w:rsidRDefault="00495DA6" w:rsidP="00C75130">
      <w:pPr>
        <w:pStyle w:val="ListParagraph"/>
        <w:numPr>
          <w:ilvl w:val="0"/>
          <w:numId w:val="10"/>
        </w:numPr>
        <w:rPr>
          <w:lang w:val="en-GB"/>
        </w:rPr>
      </w:pPr>
      <w:r w:rsidRPr="00C75130">
        <w:rPr>
          <w:lang w:val="en-GB"/>
        </w:rPr>
        <w:t>Contribute to the development of local pathways between wellbeing, health and employment support</w:t>
      </w:r>
    </w:p>
    <w:p w14:paraId="7F0D1597" w14:textId="77777777" w:rsidR="00495DA6" w:rsidRPr="00C75130" w:rsidRDefault="00495DA6" w:rsidP="00C75130">
      <w:pPr>
        <w:pStyle w:val="ListParagraph"/>
        <w:numPr>
          <w:ilvl w:val="0"/>
          <w:numId w:val="10"/>
        </w:numPr>
        <w:rPr>
          <w:lang w:val="en-GB"/>
        </w:rPr>
      </w:pPr>
      <w:r w:rsidRPr="00C75130">
        <w:rPr>
          <w:lang w:val="en-GB"/>
        </w:rPr>
        <w:t>Promote the service and contribute to referral pathways where appropriate (in line with Bluesci values and capacity)</w:t>
      </w:r>
    </w:p>
    <w:p w14:paraId="53098983" w14:textId="2A6D82EB" w:rsidR="00495DA6" w:rsidRPr="00495DA6" w:rsidRDefault="00495DA6" w:rsidP="00C75130">
      <w:pPr>
        <w:pStyle w:val="Heading2"/>
        <w:rPr>
          <w:lang w:val="en-GB"/>
        </w:rPr>
      </w:pPr>
      <w:r w:rsidRPr="00495DA6">
        <w:rPr>
          <w:lang w:val="en-GB"/>
        </w:rPr>
        <w:t>Volunteering and Social Inclusion</w:t>
      </w:r>
    </w:p>
    <w:p w14:paraId="2FED4959" w14:textId="22ABA2AD" w:rsidR="00495DA6" w:rsidRPr="00C75130" w:rsidRDefault="00495DA6" w:rsidP="00C75130">
      <w:pPr>
        <w:pStyle w:val="ListParagraph"/>
        <w:numPr>
          <w:ilvl w:val="0"/>
          <w:numId w:val="12"/>
        </w:numPr>
        <w:rPr>
          <w:lang w:val="en-GB"/>
        </w:rPr>
      </w:pPr>
      <w:r w:rsidRPr="00C75130">
        <w:rPr>
          <w:lang w:val="en-GB"/>
        </w:rPr>
        <w:t xml:space="preserve">Support individuals to access volunteering opportunities as part of their wellbeing and progression journey </w:t>
      </w:r>
    </w:p>
    <w:p w14:paraId="3D239E3E" w14:textId="77777777" w:rsidR="00495DA6" w:rsidRPr="00C75130" w:rsidRDefault="00495DA6" w:rsidP="00C75130">
      <w:pPr>
        <w:pStyle w:val="ListParagraph"/>
        <w:numPr>
          <w:ilvl w:val="0"/>
          <w:numId w:val="12"/>
        </w:numPr>
        <w:rPr>
          <w:lang w:val="en-GB"/>
        </w:rPr>
      </w:pPr>
      <w:r w:rsidRPr="00C75130">
        <w:rPr>
          <w:lang w:val="en-GB"/>
        </w:rPr>
        <w:t>Act as a buddy or provide informal support to a small number of volunteers</w:t>
      </w:r>
    </w:p>
    <w:p w14:paraId="6B48B5E0" w14:textId="780CA374" w:rsidR="00495DA6" w:rsidRPr="00C75130" w:rsidRDefault="00495DA6" w:rsidP="00C75130">
      <w:pPr>
        <w:pStyle w:val="ListParagraph"/>
        <w:numPr>
          <w:ilvl w:val="0"/>
          <w:numId w:val="12"/>
        </w:numPr>
        <w:rPr>
          <w:lang w:val="en-GB"/>
        </w:rPr>
      </w:pPr>
      <w:r w:rsidRPr="00C75130">
        <w:rPr>
          <w:lang w:val="en-GB"/>
        </w:rPr>
        <w:t>Encourage progression from engagement → volunteering → training → employment where appropriate</w:t>
      </w:r>
    </w:p>
    <w:p w14:paraId="5F764769" w14:textId="27FBB8DC" w:rsidR="00495DA6" w:rsidRPr="00495DA6" w:rsidRDefault="00495DA6" w:rsidP="00C75130">
      <w:pPr>
        <w:pStyle w:val="Heading2"/>
        <w:rPr>
          <w:lang w:val="en-GB"/>
        </w:rPr>
      </w:pPr>
      <w:r w:rsidRPr="00495DA6">
        <w:rPr>
          <w:lang w:val="en-GB"/>
        </w:rPr>
        <w:t>Information, Outcomes and Quality</w:t>
      </w:r>
    </w:p>
    <w:p w14:paraId="579E7CDB" w14:textId="77777777" w:rsidR="00495DA6" w:rsidRPr="00C75130" w:rsidRDefault="00495DA6" w:rsidP="00C75130">
      <w:pPr>
        <w:pStyle w:val="ListParagraph"/>
        <w:numPr>
          <w:ilvl w:val="0"/>
          <w:numId w:val="13"/>
        </w:numPr>
        <w:rPr>
          <w:lang w:val="en-GB"/>
        </w:rPr>
      </w:pPr>
      <w:r w:rsidRPr="00C75130">
        <w:rPr>
          <w:lang w:val="en-GB"/>
        </w:rPr>
        <w:t>Maintain accurate records of support provided and outcomes achieved</w:t>
      </w:r>
    </w:p>
    <w:p w14:paraId="7628C51B" w14:textId="6783FD62" w:rsidR="00495DA6" w:rsidRPr="00C75130" w:rsidRDefault="00495DA6" w:rsidP="00C75130">
      <w:pPr>
        <w:pStyle w:val="ListParagraph"/>
        <w:numPr>
          <w:ilvl w:val="0"/>
          <w:numId w:val="13"/>
        </w:numPr>
        <w:rPr>
          <w:lang w:val="en-GB"/>
        </w:rPr>
      </w:pPr>
      <w:r w:rsidRPr="00C75130">
        <w:rPr>
          <w:lang w:val="en-GB"/>
        </w:rPr>
        <w:t xml:space="preserve">Use agreed tools to measure wellbeing and progression outcomes </w:t>
      </w:r>
    </w:p>
    <w:p w14:paraId="151E9E10" w14:textId="77777777" w:rsidR="00495DA6" w:rsidRPr="00C75130" w:rsidRDefault="00495DA6" w:rsidP="00C75130">
      <w:pPr>
        <w:pStyle w:val="ListParagraph"/>
        <w:numPr>
          <w:ilvl w:val="0"/>
          <w:numId w:val="13"/>
        </w:numPr>
        <w:rPr>
          <w:lang w:val="en-GB"/>
        </w:rPr>
      </w:pPr>
      <w:r w:rsidRPr="00C75130">
        <w:rPr>
          <w:lang w:val="en-GB"/>
        </w:rPr>
        <w:t>Contribute to reporting requirements related to both wellbeing and work-related outcomes</w:t>
      </w:r>
    </w:p>
    <w:p w14:paraId="40E2B592" w14:textId="65F3378F" w:rsidR="00495DA6" w:rsidRPr="00C75130" w:rsidRDefault="00495DA6" w:rsidP="00C75130">
      <w:pPr>
        <w:pStyle w:val="ListParagraph"/>
        <w:numPr>
          <w:ilvl w:val="0"/>
          <w:numId w:val="13"/>
        </w:numPr>
        <w:rPr>
          <w:lang w:val="en-GB"/>
        </w:rPr>
      </w:pPr>
      <w:r w:rsidRPr="00C75130">
        <w:rPr>
          <w:lang w:val="en-GB"/>
        </w:rPr>
        <w:t>Gather feedback and contribute to service evaluation</w:t>
      </w:r>
    </w:p>
    <w:p w14:paraId="545C7163" w14:textId="57A5F9EE" w:rsidR="00495DA6" w:rsidRPr="00495DA6" w:rsidRDefault="00495DA6" w:rsidP="00C75130">
      <w:pPr>
        <w:pStyle w:val="Heading2"/>
        <w:rPr>
          <w:lang w:val="en-GB"/>
        </w:rPr>
      </w:pPr>
      <w:r w:rsidRPr="00495DA6">
        <w:rPr>
          <w:lang w:val="en-GB"/>
        </w:rPr>
        <w:t>General Responsibilities</w:t>
      </w:r>
    </w:p>
    <w:p w14:paraId="7976CA83" w14:textId="77777777" w:rsidR="00495DA6" w:rsidRPr="00C75130" w:rsidRDefault="00495DA6" w:rsidP="00C75130">
      <w:pPr>
        <w:pStyle w:val="ListParagraph"/>
        <w:numPr>
          <w:ilvl w:val="0"/>
          <w:numId w:val="14"/>
        </w:numPr>
        <w:rPr>
          <w:lang w:val="en-GB"/>
        </w:rPr>
      </w:pPr>
      <w:r w:rsidRPr="00C75130">
        <w:rPr>
          <w:lang w:val="en-GB"/>
        </w:rPr>
        <w:t>Work collaboratively as part of the Bluesci team and wider partnership network</w:t>
      </w:r>
    </w:p>
    <w:p w14:paraId="5D4404D7" w14:textId="77777777" w:rsidR="00495DA6" w:rsidRPr="00C75130" w:rsidRDefault="00495DA6" w:rsidP="00C75130">
      <w:pPr>
        <w:pStyle w:val="ListParagraph"/>
        <w:numPr>
          <w:ilvl w:val="0"/>
          <w:numId w:val="14"/>
        </w:numPr>
        <w:rPr>
          <w:lang w:val="en-GB"/>
        </w:rPr>
      </w:pPr>
      <w:r w:rsidRPr="00C75130">
        <w:rPr>
          <w:lang w:val="en-GB"/>
        </w:rPr>
        <w:t>Participate in supervision, appraisal and ongoing professional development</w:t>
      </w:r>
    </w:p>
    <w:p w14:paraId="157A92AF" w14:textId="77777777" w:rsidR="00495DA6" w:rsidRPr="00C75130" w:rsidRDefault="00495DA6" w:rsidP="00C75130">
      <w:pPr>
        <w:pStyle w:val="ListParagraph"/>
        <w:numPr>
          <w:ilvl w:val="0"/>
          <w:numId w:val="14"/>
        </w:numPr>
        <w:rPr>
          <w:lang w:val="en-GB"/>
        </w:rPr>
      </w:pPr>
      <w:r w:rsidRPr="00C75130">
        <w:rPr>
          <w:lang w:val="en-GB"/>
        </w:rPr>
        <w:t>Adhere to safeguarding, information governance and organisational policies</w:t>
      </w:r>
    </w:p>
    <w:p w14:paraId="6361BFCA" w14:textId="1026B596" w:rsidR="00495DA6" w:rsidRPr="00C75130" w:rsidRDefault="00495DA6" w:rsidP="00495DA6">
      <w:pPr>
        <w:pStyle w:val="ListParagraph"/>
        <w:numPr>
          <w:ilvl w:val="0"/>
          <w:numId w:val="14"/>
        </w:numPr>
        <w:rPr>
          <w:lang w:val="en-GB"/>
        </w:rPr>
      </w:pPr>
      <w:r w:rsidRPr="00C75130">
        <w:rPr>
          <w:lang w:val="en-GB"/>
        </w:rPr>
        <w:t>Uphold Bluesci values, including person-centred, recovery-focused and inclusive practice</w:t>
      </w:r>
    </w:p>
    <w:p w14:paraId="70069B35" w14:textId="36135C3B" w:rsidR="000220BB" w:rsidRDefault="000220BB" w:rsidP="000220BB">
      <w:pPr>
        <w:pStyle w:val="paragraph"/>
        <w:spacing w:before="0" w:beforeAutospacing="0" w:after="0" w:afterAutospacing="0"/>
        <w:textAlignment w:val="baseline"/>
        <w:rPr>
          <w:rFonts w:ascii="Segoe UI" w:hAnsi="Segoe UI" w:cs="Segoe UI"/>
          <w:b/>
          <w:bCs/>
          <w:sz w:val="18"/>
          <w:szCs w:val="18"/>
        </w:rPr>
      </w:pPr>
      <w:r>
        <w:rPr>
          <w:rStyle w:val="normaltextrun"/>
          <w:rFonts w:ascii="Aptos Display" w:hAnsi="Aptos Display" w:cs="Segoe UI"/>
          <w:color w:val="0F4761"/>
          <w:sz w:val="32"/>
          <w:szCs w:val="32"/>
        </w:rPr>
        <w:t>Summary</w:t>
      </w:r>
    </w:p>
    <w:p w14:paraId="487D410E" w14:textId="1FC6121D" w:rsidR="000220BB" w:rsidRDefault="000220BB" w:rsidP="000220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This job description is an outline of the key responsibilities of the Wellbeing Practitioner and is not intended as an exhaustive list. The job may change over time to reflect the changing needs of Bluesci and its services, as well as the professional development needs of the post holder.</w:t>
      </w:r>
    </w:p>
    <w:p w14:paraId="08359938" w14:textId="0CB1A261" w:rsidR="000220BB" w:rsidRDefault="000220BB" w:rsidP="000220BB">
      <w:pPr>
        <w:pStyle w:val="paragraph"/>
        <w:spacing w:before="0" w:beforeAutospacing="0" w:after="0" w:afterAutospacing="0"/>
        <w:jc w:val="both"/>
        <w:textAlignment w:val="baseline"/>
        <w:rPr>
          <w:rFonts w:ascii="Segoe UI" w:hAnsi="Segoe UI" w:cs="Segoe UI"/>
          <w:sz w:val="18"/>
          <w:szCs w:val="18"/>
        </w:rPr>
      </w:pPr>
    </w:p>
    <w:p w14:paraId="0B43B8BD" w14:textId="15AF0D6D" w:rsidR="000220BB" w:rsidRDefault="000220BB" w:rsidP="000220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All Bluesci employees have the following responsibilities:</w:t>
      </w:r>
      <w:r>
        <w:rPr>
          <w:rStyle w:val="normaltextrun"/>
          <w:rFonts w:ascii="Arial" w:hAnsi="Arial" w:cs="Arial"/>
        </w:rPr>
        <w:t> </w:t>
      </w:r>
    </w:p>
    <w:p w14:paraId="4012D166" w14:textId="6B67043A" w:rsidR="000220BB" w:rsidRDefault="000220BB" w:rsidP="0063496B">
      <w:pPr>
        <w:pStyle w:val="paragraph"/>
        <w:numPr>
          <w:ilvl w:val="0"/>
          <w:numId w:val="21"/>
        </w:numPr>
        <w:spacing w:before="0" w:beforeAutospacing="0" w:after="0" w:afterAutospacing="0"/>
        <w:jc w:val="both"/>
        <w:textAlignment w:val="baseline"/>
        <w:rPr>
          <w:rFonts w:ascii="Aptos" w:hAnsi="Aptos" w:cs="Segoe UI"/>
        </w:rPr>
      </w:pPr>
      <w:r>
        <w:rPr>
          <w:rStyle w:val="normaltextrun"/>
          <w:rFonts w:ascii="Aptos" w:hAnsi="Aptos" w:cs="Segoe UI"/>
        </w:rPr>
        <w:t>The post holder must not, by act or omission, endanger the safety of themself or others and must report all</w:t>
      </w:r>
      <w:r>
        <w:rPr>
          <w:rStyle w:val="normaltextrun"/>
          <w:rFonts w:ascii="Arial" w:hAnsi="Arial" w:cs="Arial"/>
        </w:rPr>
        <w:t> </w:t>
      </w:r>
      <w:r>
        <w:rPr>
          <w:rStyle w:val="normaltextrun"/>
          <w:rFonts w:ascii="Aptos" w:hAnsi="Aptos" w:cs="Segoe UI"/>
        </w:rPr>
        <w:t>untoward occurrences.</w:t>
      </w:r>
      <w:r>
        <w:rPr>
          <w:rStyle w:val="normaltextrun"/>
          <w:rFonts w:ascii="Arial" w:hAnsi="Arial" w:cs="Arial"/>
        </w:rPr>
        <w:t> </w:t>
      </w:r>
    </w:p>
    <w:p w14:paraId="2CF80C60" w14:textId="10A6D5DC" w:rsidR="000220BB" w:rsidRDefault="000220BB" w:rsidP="0063496B">
      <w:pPr>
        <w:pStyle w:val="paragraph"/>
        <w:numPr>
          <w:ilvl w:val="0"/>
          <w:numId w:val="21"/>
        </w:numPr>
        <w:spacing w:before="0" w:beforeAutospacing="0" w:after="0" w:afterAutospacing="0"/>
        <w:jc w:val="both"/>
        <w:textAlignment w:val="baseline"/>
        <w:rPr>
          <w:rFonts w:ascii="Aptos" w:hAnsi="Aptos" w:cs="Segoe UI"/>
        </w:rPr>
      </w:pPr>
      <w:r>
        <w:rPr>
          <w:rStyle w:val="normaltextrun"/>
          <w:rFonts w:ascii="Aptos" w:hAnsi="Aptos" w:cs="Segoe UI"/>
        </w:rPr>
        <w:lastRenderedPageBreak/>
        <w:t>The post holder must be aware of the signs and symptoms of abuse and neglect and report any concerns to the Safeguarding Lead. The post holder will follow the safeguarding policy and its procedure for reporting concerns.</w:t>
      </w:r>
      <w:r>
        <w:rPr>
          <w:rStyle w:val="normaltextrun"/>
          <w:rFonts w:ascii="Arial" w:hAnsi="Arial" w:cs="Arial"/>
        </w:rPr>
        <w:t> </w:t>
      </w:r>
    </w:p>
    <w:p w14:paraId="42FF7BF1" w14:textId="4671A3D4" w:rsidR="000220BB" w:rsidRDefault="000220BB" w:rsidP="0063496B">
      <w:pPr>
        <w:pStyle w:val="paragraph"/>
        <w:numPr>
          <w:ilvl w:val="0"/>
          <w:numId w:val="21"/>
        </w:numPr>
        <w:spacing w:before="0" w:beforeAutospacing="0" w:after="0" w:afterAutospacing="0"/>
        <w:jc w:val="both"/>
        <w:textAlignment w:val="baseline"/>
        <w:rPr>
          <w:rFonts w:ascii="Aptos" w:hAnsi="Aptos" w:cs="Segoe UI"/>
        </w:rPr>
      </w:pPr>
      <w:r>
        <w:rPr>
          <w:rStyle w:val="normaltextrun"/>
          <w:rFonts w:ascii="Aptos" w:hAnsi="Aptos" w:cs="Segoe UI"/>
        </w:rPr>
        <w:t>The post holder must be responsible for all the</w:t>
      </w:r>
      <w:r>
        <w:rPr>
          <w:rStyle w:val="normaltextrun"/>
          <w:rFonts w:ascii="Arial" w:hAnsi="Arial" w:cs="Arial"/>
        </w:rPr>
        <w:t> </w:t>
      </w:r>
      <w:r>
        <w:rPr>
          <w:rStyle w:val="normaltextrun"/>
          <w:rFonts w:ascii="Aptos" w:hAnsi="Aptos" w:cs="Segoe UI"/>
        </w:rPr>
        <w:t>organisations property</w:t>
      </w:r>
      <w:r>
        <w:rPr>
          <w:rStyle w:val="normaltextrun"/>
          <w:rFonts w:ascii="Arial" w:hAnsi="Arial" w:cs="Arial"/>
        </w:rPr>
        <w:t> </w:t>
      </w:r>
      <w:r>
        <w:rPr>
          <w:rStyle w:val="normaltextrun"/>
          <w:rFonts w:ascii="Aptos" w:hAnsi="Aptos" w:cs="Segoe UI"/>
        </w:rPr>
        <w:t>and the reporting of all potential or actual</w:t>
      </w:r>
      <w:r>
        <w:rPr>
          <w:rStyle w:val="normaltextrun"/>
          <w:rFonts w:ascii="Arial" w:hAnsi="Arial" w:cs="Arial"/>
        </w:rPr>
        <w:t> </w:t>
      </w:r>
      <w:r>
        <w:rPr>
          <w:rStyle w:val="normaltextrun"/>
          <w:rFonts w:ascii="Aptos" w:hAnsi="Aptos" w:cs="Segoe UI"/>
        </w:rPr>
        <w:t>breaches of security.</w:t>
      </w:r>
    </w:p>
    <w:p w14:paraId="5E42A7D0" w14:textId="71C00096" w:rsidR="000220BB" w:rsidRDefault="000220BB" w:rsidP="000220BB">
      <w:pPr>
        <w:pStyle w:val="paragraph"/>
        <w:spacing w:before="0" w:beforeAutospacing="0" w:after="0" w:afterAutospacing="0"/>
        <w:textAlignment w:val="baseline"/>
        <w:rPr>
          <w:rFonts w:ascii="Segoe UI" w:hAnsi="Segoe UI" w:cs="Segoe UI"/>
          <w:sz w:val="18"/>
          <w:szCs w:val="18"/>
        </w:rPr>
      </w:pPr>
    </w:p>
    <w:p w14:paraId="3E2CB98B" w14:textId="6DE35CF2" w:rsidR="000220BB" w:rsidRDefault="000220BB" w:rsidP="000220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F4761"/>
          <w:sz w:val="28"/>
          <w:szCs w:val="28"/>
        </w:rPr>
        <w:t>Disclosure of Criminal Background</w:t>
      </w:r>
    </w:p>
    <w:p w14:paraId="54D6E150" w14:textId="6A1A24D2" w:rsidR="000220BB" w:rsidRDefault="000220BB" w:rsidP="000220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lang w:val="en-US"/>
        </w:rPr>
        <w:t>Bluesci is committed to safeguarding and promoting the welfare of the people we support. As part of this, roles working with vulnerable adults are subject to a Disclosure and Barring Service (DBS) check at the appropriate level.</w:t>
      </w:r>
    </w:p>
    <w:p w14:paraId="528E8F68" w14:textId="080380F5" w:rsidR="000220BB" w:rsidRDefault="000220BB" w:rsidP="000220BB">
      <w:pPr>
        <w:pStyle w:val="paragraph"/>
        <w:spacing w:before="0" w:beforeAutospacing="0" w:after="0" w:afterAutospacing="0"/>
        <w:textAlignment w:val="baseline"/>
        <w:rPr>
          <w:rFonts w:ascii="Segoe UI" w:hAnsi="Segoe UI" w:cs="Segoe UI"/>
          <w:sz w:val="18"/>
          <w:szCs w:val="18"/>
        </w:rPr>
      </w:pPr>
    </w:p>
    <w:p w14:paraId="42205E59" w14:textId="0976E35D" w:rsidR="000220BB" w:rsidRDefault="000220BB" w:rsidP="000220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lang w:val="en-US"/>
        </w:rPr>
        <w:t>Successful applicants will be required to complete a DBS application form and provide consent for this check to be carried out. Having a criminal record will not necessarily prevent you from working with Bluesci; this will depend on the nature of the role and the relevance, circumstances and background of any offences.</w:t>
      </w:r>
    </w:p>
    <w:p w14:paraId="6ED066CD" w14:textId="30FD2EA5" w:rsidR="000220BB" w:rsidRDefault="000220BB" w:rsidP="000220BB">
      <w:pPr>
        <w:pStyle w:val="paragraph"/>
        <w:spacing w:before="0" w:beforeAutospacing="0" w:after="0" w:afterAutospacing="0"/>
        <w:textAlignment w:val="baseline"/>
        <w:rPr>
          <w:rFonts w:ascii="Segoe UI" w:hAnsi="Segoe UI" w:cs="Segoe UI"/>
          <w:sz w:val="18"/>
          <w:szCs w:val="18"/>
        </w:rPr>
      </w:pPr>
    </w:p>
    <w:p w14:paraId="4C04CAF2" w14:textId="7BF32AD5" w:rsidR="000220BB" w:rsidRDefault="000220BB" w:rsidP="000220BB">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lang w:val="en-US"/>
        </w:rPr>
        <w:t>In line with DBS guidance, applicants are not required to disclose information that is considered “protected” under the Rehabilitation of Offenders Act 1974 (Exceptions) Order.</w:t>
      </w:r>
    </w:p>
    <w:p w14:paraId="6EEA8525" w14:textId="3ABF24BE" w:rsidR="000220BB" w:rsidRDefault="000220BB" w:rsidP="000220BB">
      <w:pPr>
        <w:pStyle w:val="paragraph"/>
        <w:spacing w:before="0" w:beforeAutospacing="0" w:after="0" w:afterAutospacing="0"/>
        <w:textAlignment w:val="baseline"/>
        <w:rPr>
          <w:rFonts w:ascii="Segoe UI" w:hAnsi="Segoe UI" w:cs="Segoe UI"/>
          <w:sz w:val="18"/>
          <w:szCs w:val="18"/>
        </w:rPr>
      </w:pPr>
    </w:p>
    <w:p w14:paraId="3602D779" w14:textId="51F14E23" w:rsidR="000220BB" w:rsidRDefault="000220BB" w:rsidP="000220BB">
      <w:pPr>
        <w:pStyle w:val="paragraph"/>
        <w:spacing w:before="0" w:beforeAutospacing="0" w:after="0" w:afterAutospacing="0"/>
        <w:textAlignment w:val="baseline"/>
        <w:rPr>
          <w:rStyle w:val="normaltextrun"/>
          <w:rFonts w:ascii="Aptos" w:hAnsi="Aptos" w:cs="Segoe UI"/>
          <w:lang w:val="en-US"/>
        </w:rPr>
      </w:pPr>
      <w:r>
        <w:rPr>
          <w:rStyle w:val="normaltextrun"/>
          <w:rFonts w:ascii="Aptos" w:hAnsi="Aptos" w:cs="Segoe UI"/>
          <w:lang w:val="en-US"/>
        </w:rPr>
        <w:t>Please note that where a DBS check is a requirement of the role, failure to provide consent for the check to be completed may result in the application not being progressed.</w:t>
      </w:r>
    </w:p>
    <w:p w14:paraId="29B1DEC8" w14:textId="3EB8A3FF" w:rsidR="004511B5" w:rsidRDefault="004511B5" w:rsidP="004511B5">
      <w:pPr>
        <w:pStyle w:val="Heading1"/>
        <w:jc w:val="center"/>
      </w:pPr>
      <w:r>
        <w:t>Person Specification</w:t>
      </w: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590"/>
        <w:gridCol w:w="3300"/>
      </w:tblGrid>
      <w:tr w:rsidR="004511B5" w:rsidRPr="004511B5" w14:paraId="4D298B37" w14:textId="77777777" w:rsidTr="0063496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098" w:type="dxa"/>
            <w:tcBorders>
              <w:bottom w:val="none" w:sz="0" w:space="0" w:color="auto"/>
              <w:right w:val="none" w:sz="0" w:space="0" w:color="auto"/>
            </w:tcBorders>
            <w:hideMark/>
          </w:tcPr>
          <w:p w14:paraId="4EC36156" w14:textId="77777777" w:rsidR="004511B5" w:rsidRPr="004511B5" w:rsidRDefault="004511B5" w:rsidP="004511B5">
            <w:pPr>
              <w:rPr>
                <w:lang w:val="en-GB"/>
              </w:rPr>
            </w:pPr>
          </w:p>
        </w:tc>
        <w:tc>
          <w:tcPr>
            <w:tcW w:w="0" w:type="auto"/>
            <w:hideMark/>
          </w:tcPr>
          <w:p w14:paraId="387A0B51" w14:textId="77777777" w:rsidR="004511B5" w:rsidRPr="004511B5" w:rsidRDefault="004511B5" w:rsidP="004511B5">
            <w:pPr>
              <w:pStyle w:val="Heading2"/>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4511B5">
              <w:rPr>
                <w:color w:val="FFFFFF" w:themeColor="background1"/>
                <w:lang w:val="en-GB"/>
              </w:rPr>
              <w:t>Essential</w:t>
            </w:r>
          </w:p>
        </w:tc>
        <w:tc>
          <w:tcPr>
            <w:tcW w:w="0" w:type="auto"/>
            <w:hideMark/>
          </w:tcPr>
          <w:p w14:paraId="3D10EB8E" w14:textId="77777777" w:rsidR="004511B5" w:rsidRPr="004511B5" w:rsidRDefault="004511B5" w:rsidP="004511B5">
            <w:pPr>
              <w:pStyle w:val="Heading2"/>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4511B5">
              <w:rPr>
                <w:color w:val="FFFFFF" w:themeColor="background1"/>
                <w:lang w:val="en-GB"/>
              </w:rPr>
              <w:t>Desired</w:t>
            </w:r>
          </w:p>
        </w:tc>
      </w:tr>
      <w:tr w:rsidR="004511B5" w:rsidRPr="004511B5" w14:paraId="087B27D3" w14:textId="77777777" w:rsidTr="00634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Borders>
              <w:top w:val="none" w:sz="0" w:space="0" w:color="auto"/>
              <w:bottom w:val="none" w:sz="0" w:space="0" w:color="auto"/>
              <w:right w:val="none" w:sz="0" w:space="0" w:color="auto"/>
            </w:tcBorders>
            <w:hideMark/>
          </w:tcPr>
          <w:p w14:paraId="4DCE94A5" w14:textId="77777777" w:rsidR="004511B5" w:rsidRPr="004511B5" w:rsidRDefault="004511B5" w:rsidP="004511B5">
            <w:pPr>
              <w:rPr>
                <w:lang w:val="en-GB"/>
              </w:rPr>
            </w:pPr>
            <w:r w:rsidRPr="004511B5">
              <w:rPr>
                <w:lang w:val="en-GB"/>
              </w:rPr>
              <w:t>KNOWLEDGE</w:t>
            </w:r>
          </w:p>
        </w:tc>
        <w:tc>
          <w:tcPr>
            <w:tcW w:w="0" w:type="auto"/>
            <w:tcBorders>
              <w:top w:val="none" w:sz="0" w:space="0" w:color="auto"/>
              <w:bottom w:val="none" w:sz="0" w:space="0" w:color="auto"/>
            </w:tcBorders>
            <w:hideMark/>
          </w:tcPr>
          <w:p w14:paraId="3FDDEC07" w14:textId="5CBDBC9A" w:rsidR="0063496B" w:rsidRDefault="004511B5" w:rsidP="0063496B">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lang w:val="en-GB"/>
              </w:rPr>
            </w:pPr>
            <w:r w:rsidRPr="0063496B">
              <w:rPr>
                <w:lang w:val="en-GB"/>
              </w:rPr>
              <w:t xml:space="preserve">Understanding of person-centred, recovery-focused approaches, social prescribing and positive therapeutic relationships </w:t>
            </w:r>
          </w:p>
          <w:p w14:paraId="0E22AE29" w14:textId="7D4F0D4A" w:rsidR="0063496B" w:rsidRDefault="004511B5" w:rsidP="0063496B">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lang w:val="en-GB"/>
              </w:rPr>
            </w:pPr>
            <w:r w:rsidRPr="0063496B">
              <w:rPr>
                <w:lang w:val="en-GB"/>
              </w:rPr>
              <w:t>Understanding of the relationship between health, wellbeing and employment outcomes</w:t>
            </w:r>
          </w:p>
          <w:p w14:paraId="40D139E9" w14:textId="78668071" w:rsidR="0063496B" w:rsidRDefault="004511B5" w:rsidP="0063496B">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lang w:val="en-GB"/>
              </w:rPr>
            </w:pPr>
            <w:r w:rsidRPr="0063496B">
              <w:rPr>
                <w:lang w:val="en-GB"/>
              </w:rPr>
              <w:t xml:space="preserve">Awareness of barriers to employment faced by people with mental health and long-term conditions </w:t>
            </w:r>
          </w:p>
          <w:p w14:paraId="09296BB7" w14:textId="638001C8" w:rsidR="004511B5" w:rsidRPr="0063496B" w:rsidRDefault="004511B5" w:rsidP="0063496B">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lang w:val="en-GB"/>
              </w:rPr>
            </w:pPr>
            <w:r w:rsidRPr="0063496B">
              <w:rPr>
                <w:lang w:val="en-GB"/>
              </w:rPr>
              <w:t xml:space="preserve">Knowledge of community assets and services that </w:t>
            </w:r>
            <w:r w:rsidRPr="0063496B">
              <w:rPr>
                <w:lang w:val="en-GB"/>
              </w:rPr>
              <w:lastRenderedPageBreak/>
              <w:t>support wellbeing and inclusion</w:t>
            </w:r>
          </w:p>
        </w:tc>
        <w:tc>
          <w:tcPr>
            <w:tcW w:w="0" w:type="auto"/>
            <w:tcBorders>
              <w:top w:val="none" w:sz="0" w:space="0" w:color="auto"/>
              <w:bottom w:val="none" w:sz="0" w:space="0" w:color="auto"/>
            </w:tcBorders>
            <w:hideMark/>
          </w:tcPr>
          <w:p w14:paraId="4E525114" w14:textId="75F94F5C" w:rsidR="0063496B" w:rsidRDefault="004511B5" w:rsidP="0063496B">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lang w:val="en-GB"/>
              </w:rPr>
            </w:pPr>
            <w:r w:rsidRPr="0063496B">
              <w:rPr>
                <w:lang w:val="en-GB"/>
              </w:rPr>
              <w:lastRenderedPageBreak/>
              <w:t xml:space="preserve">Knowledge of the UK benefits system and employment support pathways </w:t>
            </w:r>
          </w:p>
          <w:p w14:paraId="151602EE" w14:textId="29982F10" w:rsidR="004511B5" w:rsidRPr="0063496B" w:rsidRDefault="004511B5" w:rsidP="0063496B">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lang w:val="en-GB"/>
              </w:rPr>
            </w:pPr>
            <w:r w:rsidRPr="0063496B">
              <w:rPr>
                <w:lang w:val="en-GB"/>
              </w:rPr>
              <w:t>Understanding of workplace wellbeing, reasonable adjustments and return-to-work approaches</w:t>
            </w:r>
          </w:p>
        </w:tc>
      </w:tr>
      <w:tr w:rsidR="004511B5" w:rsidRPr="004511B5" w14:paraId="06A9A3BD" w14:textId="77777777" w:rsidTr="0063496B">
        <w:tc>
          <w:tcPr>
            <w:cnfStyle w:val="001000000000" w:firstRow="0" w:lastRow="0" w:firstColumn="1" w:lastColumn="0" w:oddVBand="0" w:evenVBand="0" w:oddHBand="0" w:evenHBand="0" w:firstRowFirstColumn="0" w:firstRowLastColumn="0" w:lastRowFirstColumn="0" w:lastRowLastColumn="0"/>
            <w:tcW w:w="2098" w:type="dxa"/>
            <w:tcBorders>
              <w:right w:val="none" w:sz="0" w:space="0" w:color="auto"/>
            </w:tcBorders>
            <w:hideMark/>
          </w:tcPr>
          <w:p w14:paraId="77B38870" w14:textId="77777777" w:rsidR="004511B5" w:rsidRPr="004511B5" w:rsidRDefault="004511B5" w:rsidP="004511B5">
            <w:pPr>
              <w:rPr>
                <w:lang w:val="en-GB"/>
              </w:rPr>
            </w:pPr>
            <w:r w:rsidRPr="004511B5">
              <w:rPr>
                <w:lang w:val="en-GB"/>
              </w:rPr>
              <w:t>SKILLS &amp; ABILITIES</w:t>
            </w:r>
          </w:p>
        </w:tc>
        <w:tc>
          <w:tcPr>
            <w:tcW w:w="0" w:type="auto"/>
            <w:hideMark/>
          </w:tcPr>
          <w:p w14:paraId="53F8657D" w14:textId="7B5A4845" w:rsidR="0063496B" w:rsidRDefault="004511B5" w:rsidP="0063496B">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lang w:val="en-GB"/>
              </w:rPr>
            </w:pPr>
            <w:r w:rsidRPr="0063496B">
              <w:rPr>
                <w:lang w:val="en-GB"/>
              </w:rPr>
              <w:t xml:space="preserve">Ability to build trusting, supportive relationships with individuals and engage people who may be vulnerable or hard to reach </w:t>
            </w:r>
          </w:p>
          <w:p w14:paraId="20C02040" w14:textId="6637FADF" w:rsidR="0063496B" w:rsidRDefault="004511B5" w:rsidP="0063496B">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lang w:val="en-GB"/>
              </w:rPr>
            </w:pPr>
            <w:r w:rsidRPr="0063496B">
              <w:rPr>
                <w:lang w:val="en-GB"/>
              </w:rPr>
              <w:t xml:space="preserve">Ability to co-produce person-centred plans, including wellbeing and work-related goals </w:t>
            </w:r>
          </w:p>
          <w:p w14:paraId="308889CD" w14:textId="6713307C" w:rsidR="0063496B" w:rsidRDefault="004511B5" w:rsidP="0063496B">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lang w:val="en-GB"/>
              </w:rPr>
            </w:pPr>
            <w:r w:rsidRPr="0063496B">
              <w:rPr>
                <w:lang w:val="en-GB"/>
              </w:rPr>
              <w:t xml:space="preserve">Ability to motivate and support individuals to achieve positive change and increased independence </w:t>
            </w:r>
          </w:p>
          <w:p w14:paraId="11C9000A" w14:textId="0CA01BE0" w:rsidR="0063496B" w:rsidRDefault="004511B5" w:rsidP="0063496B">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lang w:val="en-GB"/>
              </w:rPr>
            </w:pPr>
            <w:r w:rsidRPr="0063496B">
              <w:rPr>
                <w:lang w:val="en-GB"/>
              </w:rPr>
              <w:t xml:space="preserve">Strong communication skills (verbal and written) across a range of people and contexts </w:t>
            </w:r>
            <w:r w:rsidRPr="0063496B">
              <w:rPr>
                <w:lang w:val="en-GB"/>
              </w:rPr>
              <w:br/>
              <w:t xml:space="preserve">Ability to assess needs holistically and respond flexibly </w:t>
            </w:r>
          </w:p>
          <w:p w14:paraId="3D863922" w14:textId="011B5CEF" w:rsidR="004511B5" w:rsidRPr="0063496B" w:rsidRDefault="004511B5" w:rsidP="0063496B">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lang w:val="en-GB"/>
              </w:rPr>
            </w:pPr>
            <w:r w:rsidRPr="0063496B">
              <w:rPr>
                <w:lang w:val="en-GB"/>
              </w:rPr>
              <w:t>Ability to manage a caseload and prioritise effectively</w:t>
            </w:r>
          </w:p>
        </w:tc>
        <w:tc>
          <w:tcPr>
            <w:tcW w:w="0" w:type="auto"/>
            <w:hideMark/>
          </w:tcPr>
          <w:p w14:paraId="24EE1AD2" w14:textId="5D87B2BF" w:rsidR="0063496B" w:rsidRDefault="004511B5" w:rsidP="0063496B">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lang w:val="en-GB"/>
              </w:rPr>
            </w:pPr>
            <w:r w:rsidRPr="0063496B">
              <w:rPr>
                <w:lang w:val="en-GB"/>
              </w:rPr>
              <w:t xml:space="preserve">Ability to provide practical advice, advocacy and support with forms or services </w:t>
            </w:r>
          </w:p>
          <w:p w14:paraId="614A9E59" w14:textId="02201C66" w:rsidR="004511B5" w:rsidRPr="0063496B" w:rsidRDefault="004511B5" w:rsidP="0063496B">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lang w:val="en-GB"/>
              </w:rPr>
            </w:pPr>
            <w:r w:rsidRPr="0063496B">
              <w:rPr>
                <w:lang w:val="en-GB"/>
              </w:rPr>
              <w:t>Experience supporting individuals with employment-related goals (job search, confidence, returning to work)</w:t>
            </w:r>
          </w:p>
        </w:tc>
      </w:tr>
      <w:tr w:rsidR="004511B5" w:rsidRPr="004511B5" w14:paraId="776BE268" w14:textId="77777777" w:rsidTr="00634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Borders>
              <w:top w:val="none" w:sz="0" w:space="0" w:color="auto"/>
              <w:bottom w:val="none" w:sz="0" w:space="0" w:color="auto"/>
              <w:right w:val="none" w:sz="0" w:space="0" w:color="auto"/>
            </w:tcBorders>
            <w:hideMark/>
          </w:tcPr>
          <w:p w14:paraId="34FB3040" w14:textId="77777777" w:rsidR="004511B5" w:rsidRPr="004511B5" w:rsidRDefault="004511B5" w:rsidP="004511B5">
            <w:pPr>
              <w:rPr>
                <w:lang w:val="en-GB"/>
              </w:rPr>
            </w:pPr>
            <w:r w:rsidRPr="004511B5">
              <w:rPr>
                <w:lang w:val="en-GB"/>
              </w:rPr>
              <w:t>COLLABORATION AND PARTNERSHIP WORKING</w:t>
            </w:r>
          </w:p>
        </w:tc>
        <w:tc>
          <w:tcPr>
            <w:tcW w:w="0" w:type="auto"/>
            <w:tcBorders>
              <w:top w:val="none" w:sz="0" w:space="0" w:color="auto"/>
              <w:bottom w:val="none" w:sz="0" w:space="0" w:color="auto"/>
            </w:tcBorders>
            <w:hideMark/>
          </w:tcPr>
          <w:p w14:paraId="477BC5AE" w14:textId="725B6CE3" w:rsidR="0063496B" w:rsidRDefault="004511B5" w:rsidP="0063496B">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GB"/>
              </w:rPr>
            </w:pPr>
            <w:r w:rsidRPr="0063496B">
              <w:rPr>
                <w:lang w:val="en-GB"/>
              </w:rPr>
              <w:t xml:space="preserve">Ability to work collaboratively with colleagues, partners and wider systems to support individuals </w:t>
            </w:r>
          </w:p>
          <w:p w14:paraId="53706531" w14:textId="19E6FB4B" w:rsidR="0063496B" w:rsidRDefault="004511B5" w:rsidP="0063496B">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GB"/>
              </w:rPr>
            </w:pPr>
            <w:r w:rsidRPr="0063496B">
              <w:rPr>
                <w:lang w:val="en-GB"/>
              </w:rPr>
              <w:t xml:space="preserve">Ability to build and maintain effective relationships with community, health and voluntary sector organisations </w:t>
            </w:r>
          </w:p>
          <w:p w14:paraId="2376CFA2" w14:textId="386D4803" w:rsidR="004511B5" w:rsidRPr="0063496B" w:rsidRDefault="004511B5" w:rsidP="0063496B">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GB"/>
              </w:rPr>
            </w:pPr>
            <w:r w:rsidRPr="0063496B">
              <w:rPr>
                <w:lang w:val="en-GB"/>
              </w:rPr>
              <w:t>Commitment to a holistic approach, integrating wellbeing and practical support</w:t>
            </w:r>
          </w:p>
        </w:tc>
        <w:tc>
          <w:tcPr>
            <w:tcW w:w="0" w:type="auto"/>
            <w:tcBorders>
              <w:top w:val="none" w:sz="0" w:space="0" w:color="auto"/>
              <w:bottom w:val="none" w:sz="0" w:space="0" w:color="auto"/>
            </w:tcBorders>
            <w:hideMark/>
          </w:tcPr>
          <w:p w14:paraId="6B753BD8" w14:textId="0B85B1F4" w:rsidR="0063496B" w:rsidRDefault="004511B5" w:rsidP="0063496B">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GB"/>
              </w:rPr>
            </w:pPr>
            <w:r w:rsidRPr="0063496B">
              <w:rPr>
                <w:lang w:val="en-GB"/>
              </w:rPr>
              <w:t xml:space="preserve">Experience working across multi-agency or partnership environments </w:t>
            </w:r>
          </w:p>
          <w:p w14:paraId="20083F2A" w14:textId="0080E246" w:rsidR="004511B5" w:rsidRPr="0063496B" w:rsidRDefault="004511B5" w:rsidP="0063496B">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GB"/>
              </w:rPr>
            </w:pPr>
            <w:r w:rsidRPr="0063496B">
              <w:rPr>
                <w:lang w:val="en-GB"/>
              </w:rPr>
              <w:t>Experience working with employment, skills or health services</w:t>
            </w:r>
          </w:p>
        </w:tc>
      </w:tr>
      <w:tr w:rsidR="004511B5" w:rsidRPr="004511B5" w14:paraId="66A844DB" w14:textId="77777777" w:rsidTr="0063496B">
        <w:tc>
          <w:tcPr>
            <w:cnfStyle w:val="001000000000" w:firstRow="0" w:lastRow="0" w:firstColumn="1" w:lastColumn="0" w:oddVBand="0" w:evenVBand="0" w:oddHBand="0" w:evenHBand="0" w:firstRowFirstColumn="0" w:firstRowLastColumn="0" w:lastRowFirstColumn="0" w:lastRowLastColumn="0"/>
            <w:tcW w:w="2098" w:type="dxa"/>
            <w:tcBorders>
              <w:right w:val="none" w:sz="0" w:space="0" w:color="auto"/>
            </w:tcBorders>
            <w:hideMark/>
          </w:tcPr>
          <w:p w14:paraId="00D999CF" w14:textId="77777777" w:rsidR="004511B5" w:rsidRPr="004511B5" w:rsidRDefault="004511B5" w:rsidP="004511B5">
            <w:pPr>
              <w:rPr>
                <w:lang w:val="en-GB"/>
              </w:rPr>
            </w:pPr>
            <w:r w:rsidRPr="004511B5">
              <w:rPr>
                <w:lang w:val="en-GB"/>
              </w:rPr>
              <w:lastRenderedPageBreak/>
              <w:t>QUALIFICATIONS &amp; EXPERIENCE</w:t>
            </w:r>
          </w:p>
        </w:tc>
        <w:tc>
          <w:tcPr>
            <w:tcW w:w="0" w:type="auto"/>
            <w:hideMark/>
          </w:tcPr>
          <w:p w14:paraId="1A078555" w14:textId="77777777" w:rsidR="0063496B" w:rsidRPr="0063496B" w:rsidRDefault="004511B5" w:rsidP="0063496B">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lang w:val="en-GB"/>
              </w:rPr>
            </w:pPr>
            <w:r w:rsidRPr="0063496B">
              <w:rPr>
                <w:lang w:val="en-GB"/>
              </w:rPr>
              <w:t xml:space="preserve">At least 1 year’s experience working in a wellbeing, mental health, social care, or related support role </w:t>
            </w:r>
          </w:p>
          <w:p w14:paraId="36EE4E93" w14:textId="2BD8EACC" w:rsidR="004511B5" w:rsidRPr="0063496B" w:rsidRDefault="004511B5" w:rsidP="0063496B">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lang w:val="en-GB"/>
              </w:rPr>
            </w:pPr>
            <w:r w:rsidRPr="0063496B">
              <w:rPr>
                <w:lang w:val="en-GB"/>
              </w:rPr>
              <w:t>Experience supporting individuals on a 1:1 basis to achieve personal goals</w:t>
            </w:r>
          </w:p>
        </w:tc>
        <w:tc>
          <w:tcPr>
            <w:tcW w:w="0" w:type="auto"/>
            <w:hideMark/>
          </w:tcPr>
          <w:p w14:paraId="748EB504" w14:textId="77777777" w:rsidR="0063496B" w:rsidRPr="0063496B" w:rsidRDefault="004511B5" w:rsidP="0063496B">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lang w:val="en-GB"/>
              </w:rPr>
            </w:pPr>
            <w:r w:rsidRPr="0063496B">
              <w:rPr>
                <w:lang w:val="en-GB"/>
              </w:rPr>
              <w:t xml:space="preserve">Experience in employment support, advice work, coaching or similar roles </w:t>
            </w:r>
          </w:p>
          <w:p w14:paraId="6F4935F7" w14:textId="3BB46897" w:rsidR="004511B5" w:rsidRPr="0063496B" w:rsidRDefault="004511B5" w:rsidP="0063496B">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lang w:val="en-GB"/>
              </w:rPr>
            </w:pPr>
            <w:r w:rsidRPr="0063496B">
              <w:rPr>
                <w:lang w:val="en-GB"/>
              </w:rPr>
              <w:t>Relevant qualification in counselling, health, coaching, social prescribing or similar</w:t>
            </w:r>
          </w:p>
        </w:tc>
      </w:tr>
      <w:tr w:rsidR="004511B5" w:rsidRPr="004511B5" w14:paraId="20C887DC" w14:textId="77777777" w:rsidTr="00634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Borders>
              <w:top w:val="none" w:sz="0" w:space="0" w:color="auto"/>
              <w:bottom w:val="none" w:sz="0" w:space="0" w:color="auto"/>
              <w:right w:val="none" w:sz="0" w:space="0" w:color="auto"/>
            </w:tcBorders>
            <w:hideMark/>
          </w:tcPr>
          <w:p w14:paraId="606676C6" w14:textId="77777777" w:rsidR="004511B5" w:rsidRPr="004511B5" w:rsidRDefault="004511B5" w:rsidP="004511B5">
            <w:pPr>
              <w:rPr>
                <w:lang w:val="en-GB"/>
              </w:rPr>
            </w:pPr>
            <w:r w:rsidRPr="004511B5">
              <w:rPr>
                <w:lang w:val="en-GB"/>
              </w:rPr>
              <w:t>QUALITY &amp; VALUES</w:t>
            </w:r>
          </w:p>
        </w:tc>
        <w:tc>
          <w:tcPr>
            <w:tcW w:w="0" w:type="auto"/>
            <w:tcBorders>
              <w:top w:val="none" w:sz="0" w:space="0" w:color="auto"/>
              <w:bottom w:val="none" w:sz="0" w:space="0" w:color="auto"/>
            </w:tcBorders>
            <w:hideMark/>
          </w:tcPr>
          <w:p w14:paraId="664DB485" w14:textId="77777777" w:rsidR="0063496B" w:rsidRPr="0063496B" w:rsidRDefault="004511B5" w:rsidP="0063496B">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GB"/>
              </w:rPr>
            </w:pPr>
            <w:r w:rsidRPr="0063496B">
              <w:rPr>
                <w:lang w:val="en-GB"/>
              </w:rPr>
              <w:t xml:space="preserve">Commitment to person-centred, recovery-focused practice and social inclusion </w:t>
            </w:r>
          </w:p>
          <w:p w14:paraId="53F5E525" w14:textId="2A8C9554" w:rsidR="0063496B" w:rsidRPr="0063496B" w:rsidRDefault="004511B5" w:rsidP="0063496B">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GB"/>
              </w:rPr>
            </w:pPr>
            <w:r w:rsidRPr="0063496B">
              <w:rPr>
                <w:lang w:val="en-GB"/>
              </w:rPr>
              <w:t xml:space="preserve">Ability to promote independence and avoid fostering dependency </w:t>
            </w:r>
            <w:r w:rsidRPr="0063496B">
              <w:rPr>
                <w:lang w:val="en-GB"/>
              </w:rPr>
              <w:br/>
              <w:t xml:space="preserve">Commitment to equality, diversity and inclusion </w:t>
            </w:r>
          </w:p>
          <w:p w14:paraId="55E77560" w14:textId="6E49764E" w:rsidR="004511B5" w:rsidRPr="0063496B" w:rsidRDefault="004511B5" w:rsidP="0063496B">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GB"/>
              </w:rPr>
            </w:pPr>
            <w:r w:rsidRPr="0063496B">
              <w:rPr>
                <w:lang w:val="en-GB"/>
              </w:rPr>
              <w:t>Ability to reflect on own practice and use supervision effectively</w:t>
            </w:r>
          </w:p>
        </w:tc>
        <w:tc>
          <w:tcPr>
            <w:tcW w:w="0" w:type="auto"/>
            <w:tcBorders>
              <w:top w:val="none" w:sz="0" w:space="0" w:color="auto"/>
              <w:bottom w:val="none" w:sz="0" w:space="0" w:color="auto"/>
            </w:tcBorders>
            <w:hideMark/>
          </w:tcPr>
          <w:p w14:paraId="2B8ECFD9" w14:textId="77777777" w:rsidR="004511B5" w:rsidRPr="0063496B" w:rsidRDefault="004511B5" w:rsidP="0063496B">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GB"/>
              </w:rPr>
            </w:pPr>
            <w:r w:rsidRPr="0063496B">
              <w:rPr>
                <w:lang w:val="en-GB"/>
              </w:rPr>
              <w:t>Experience of working in values-driven or user-led services</w:t>
            </w:r>
          </w:p>
        </w:tc>
      </w:tr>
      <w:tr w:rsidR="004511B5" w:rsidRPr="004511B5" w14:paraId="5DE13AC8" w14:textId="77777777" w:rsidTr="0063496B">
        <w:tc>
          <w:tcPr>
            <w:cnfStyle w:val="001000000000" w:firstRow="0" w:lastRow="0" w:firstColumn="1" w:lastColumn="0" w:oddVBand="0" w:evenVBand="0" w:oddHBand="0" w:evenHBand="0" w:firstRowFirstColumn="0" w:firstRowLastColumn="0" w:lastRowFirstColumn="0" w:lastRowLastColumn="0"/>
            <w:tcW w:w="2098" w:type="dxa"/>
            <w:tcBorders>
              <w:right w:val="none" w:sz="0" w:space="0" w:color="auto"/>
            </w:tcBorders>
            <w:hideMark/>
          </w:tcPr>
          <w:p w14:paraId="4810B619" w14:textId="77777777" w:rsidR="004511B5" w:rsidRPr="004511B5" w:rsidRDefault="004511B5" w:rsidP="004511B5">
            <w:pPr>
              <w:rPr>
                <w:lang w:val="en-GB"/>
              </w:rPr>
            </w:pPr>
            <w:r w:rsidRPr="004511B5">
              <w:rPr>
                <w:lang w:val="en-GB"/>
              </w:rPr>
              <w:t>OTHER</w:t>
            </w:r>
          </w:p>
        </w:tc>
        <w:tc>
          <w:tcPr>
            <w:tcW w:w="0" w:type="auto"/>
            <w:hideMark/>
          </w:tcPr>
          <w:p w14:paraId="768189DE" w14:textId="77777777" w:rsidR="0063496B" w:rsidRPr="0063496B" w:rsidRDefault="004511B5" w:rsidP="0063496B">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lang w:val="en-GB"/>
              </w:rPr>
            </w:pPr>
            <w:r w:rsidRPr="0063496B">
              <w:rPr>
                <w:lang w:val="en-GB"/>
              </w:rPr>
              <w:t xml:space="preserve">Ability to maintain accurate records and contribute to monitoring outcomes and reporting </w:t>
            </w:r>
          </w:p>
          <w:p w14:paraId="4426B93E" w14:textId="64878E32" w:rsidR="004511B5" w:rsidRPr="0063496B" w:rsidRDefault="004511B5" w:rsidP="0063496B">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lang w:val="en-GB"/>
              </w:rPr>
            </w:pPr>
            <w:r w:rsidRPr="0063496B">
              <w:rPr>
                <w:lang w:val="en-GB"/>
              </w:rPr>
              <w:t xml:space="preserve">Awareness of safeguarding, confidentiality and information governance requirements </w:t>
            </w:r>
            <w:r w:rsidRPr="0063496B">
              <w:rPr>
                <w:lang w:val="en-GB"/>
              </w:rPr>
              <w:br/>
              <w:t>Willingness to undertake training and continuous development</w:t>
            </w:r>
          </w:p>
        </w:tc>
        <w:tc>
          <w:tcPr>
            <w:tcW w:w="0" w:type="auto"/>
            <w:hideMark/>
          </w:tcPr>
          <w:p w14:paraId="3A364CAD" w14:textId="77777777" w:rsidR="0063496B" w:rsidRPr="0063496B" w:rsidRDefault="004511B5" w:rsidP="0063496B">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lang w:val="en-GB"/>
              </w:rPr>
            </w:pPr>
            <w:r w:rsidRPr="0063496B">
              <w:rPr>
                <w:lang w:val="en-GB"/>
              </w:rPr>
              <w:t>Experience using case management or data systems</w:t>
            </w:r>
          </w:p>
          <w:p w14:paraId="1C9D6966" w14:textId="3F66FA5E" w:rsidR="004511B5" w:rsidRPr="0063496B" w:rsidRDefault="004511B5" w:rsidP="0063496B">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lang w:val="en-GB"/>
              </w:rPr>
            </w:pPr>
            <w:r w:rsidRPr="0063496B">
              <w:rPr>
                <w:lang w:val="en-GB"/>
              </w:rPr>
              <w:t>Ability to support service development or contribute to evaluation</w:t>
            </w:r>
          </w:p>
        </w:tc>
      </w:tr>
    </w:tbl>
    <w:p w14:paraId="5B5C7D9F" w14:textId="77777777" w:rsidR="00693C47" w:rsidRDefault="00693C47"/>
    <w:sectPr w:rsidR="00693C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DC9"/>
    <w:multiLevelType w:val="multilevel"/>
    <w:tmpl w:val="FBBE4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27D95"/>
    <w:multiLevelType w:val="hybridMultilevel"/>
    <w:tmpl w:val="2BDE3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8C3F29"/>
    <w:multiLevelType w:val="multilevel"/>
    <w:tmpl w:val="FBBE45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91735A2"/>
    <w:multiLevelType w:val="multilevel"/>
    <w:tmpl w:val="FBBE45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B3E5907"/>
    <w:multiLevelType w:val="multilevel"/>
    <w:tmpl w:val="3998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11ACF"/>
    <w:multiLevelType w:val="multilevel"/>
    <w:tmpl w:val="FBBE45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4284092"/>
    <w:multiLevelType w:val="hybridMultilevel"/>
    <w:tmpl w:val="9FC24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7835C5"/>
    <w:multiLevelType w:val="hybridMultilevel"/>
    <w:tmpl w:val="DE365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562C03"/>
    <w:multiLevelType w:val="multilevel"/>
    <w:tmpl w:val="FBBE45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7CE2A9B"/>
    <w:multiLevelType w:val="multilevel"/>
    <w:tmpl w:val="4EC0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25B3B"/>
    <w:multiLevelType w:val="hybridMultilevel"/>
    <w:tmpl w:val="F5BA7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C1441B"/>
    <w:multiLevelType w:val="multilevel"/>
    <w:tmpl w:val="FBBE4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873D4C"/>
    <w:multiLevelType w:val="multilevel"/>
    <w:tmpl w:val="92EE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685CB9"/>
    <w:multiLevelType w:val="hybridMultilevel"/>
    <w:tmpl w:val="E1FC06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547026D0"/>
    <w:multiLevelType w:val="hybridMultilevel"/>
    <w:tmpl w:val="546C3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C37E53"/>
    <w:multiLevelType w:val="multilevel"/>
    <w:tmpl w:val="FBBE4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675A0A"/>
    <w:multiLevelType w:val="multilevel"/>
    <w:tmpl w:val="E77C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915029"/>
    <w:multiLevelType w:val="multilevel"/>
    <w:tmpl w:val="FBBE4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A3B28"/>
    <w:multiLevelType w:val="multilevel"/>
    <w:tmpl w:val="422E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B025DE"/>
    <w:multiLevelType w:val="hybridMultilevel"/>
    <w:tmpl w:val="E20478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6A14BD"/>
    <w:multiLevelType w:val="multilevel"/>
    <w:tmpl w:val="9C4E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3B098B"/>
    <w:multiLevelType w:val="multilevel"/>
    <w:tmpl w:val="7136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527F15"/>
    <w:multiLevelType w:val="multilevel"/>
    <w:tmpl w:val="3422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AD5274"/>
    <w:multiLevelType w:val="multilevel"/>
    <w:tmpl w:val="D458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978948">
    <w:abstractNumId w:val="23"/>
  </w:num>
  <w:num w:numId="2" w16cid:durableId="573904542">
    <w:abstractNumId w:val="17"/>
  </w:num>
  <w:num w:numId="3" w16cid:durableId="1423146071">
    <w:abstractNumId w:val="20"/>
  </w:num>
  <w:num w:numId="4" w16cid:durableId="1615861805">
    <w:abstractNumId w:val="22"/>
  </w:num>
  <w:num w:numId="5" w16cid:durableId="1932809813">
    <w:abstractNumId w:val="4"/>
  </w:num>
  <w:num w:numId="6" w16cid:durableId="1983804414">
    <w:abstractNumId w:val="12"/>
  </w:num>
  <w:num w:numId="7" w16cid:durableId="542447514">
    <w:abstractNumId w:val="9"/>
  </w:num>
  <w:num w:numId="8" w16cid:durableId="1758285281">
    <w:abstractNumId w:val="0"/>
  </w:num>
  <w:num w:numId="9" w16cid:durableId="941687432">
    <w:abstractNumId w:val="11"/>
  </w:num>
  <w:num w:numId="10" w16cid:durableId="1326326703">
    <w:abstractNumId w:val="8"/>
  </w:num>
  <w:num w:numId="11" w16cid:durableId="198006668">
    <w:abstractNumId w:val="15"/>
  </w:num>
  <w:num w:numId="12" w16cid:durableId="1730153092">
    <w:abstractNumId w:val="3"/>
  </w:num>
  <w:num w:numId="13" w16cid:durableId="1533692396">
    <w:abstractNumId w:val="5"/>
  </w:num>
  <w:num w:numId="14" w16cid:durableId="1427119259">
    <w:abstractNumId w:val="2"/>
  </w:num>
  <w:num w:numId="15" w16cid:durableId="1192525214">
    <w:abstractNumId w:val="21"/>
  </w:num>
  <w:num w:numId="16" w16cid:durableId="819151111">
    <w:abstractNumId w:val="16"/>
  </w:num>
  <w:num w:numId="17" w16cid:durableId="1851798238">
    <w:abstractNumId w:val="18"/>
  </w:num>
  <w:num w:numId="18" w16cid:durableId="663243052">
    <w:abstractNumId w:val="14"/>
  </w:num>
  <w:num w:numId="19" w16cid:durableId="1009524540">
    <w:abstractNumId w:val="19"/>
  </w:num>
  <w:num w:numId="20" w16cid:durableId="1560634092">
    <w:abstractNumId w:val="13"/>
  </w:num>
  <w:num w:numId="21" w16cid:durableId="352732511">
    <w:abstractNumId w:val="1"/>
  </w:num>
  <w:num w:numId="22" w16cid:durableId="2123256054">
    <w:abstractNumId w:val="10"/>
  </w:num>
  <w:num w:numId="23" w16cid:durableId="1596859698">
    <w:abstractNumId w:val="7"/>
  </w:num>
  <w:num w:numId="24" w16cid:durableId="18392273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F2"/>
    <w:rsid w:val="00014DE7"/>
    <w:rsid w:val="000220BB"/>
    <w:rsid w:val="0002614A"/>
    <w:rsid w:val="0003343C"/>
    <w:rsid w:val="00043485"/>
    <w:rsid w:val="00055E7F"/>
    <w:rsid w:val="000629D0"/>
    <w:rsid w:val="00086E5C"/>
    <w:rsid w:val="00092668"/>
    <w:rsid w:val="0009532B"/>
    <w:rsid w:val="00097C6C"/>
    <w:rsid w:val="000A2507"/>
    <w:rsid w:val="000B149C"/>
    <w:rsid w:val="000D3F03"/>
    <w:rsid w:val="000E47E8"/>
    <w:rsid w:val="000F7DE4"/>
    <w:rsid w:val="00123348"/>
    <w:rsid w:val="001241D8"/>
    <w:rsid w:val="0012468B"/>
    <w:rsid w:val="00145D88"/>
    <w:rsid w:val="001570DA"/>
    <w:rsid w:val="00157CF8"/>
    <w:rsid w:val="00160F71"/>
    <w:rsid w:val="00162BE3"/>
    <w:rsid w:val="001649F7"/>
    <w:rsid w:val="00172110"/>
    <w:rsid w:val="00176C45"/>
    <w:rsid w:val="001831FC"/>
    <w:rsid w:val="00193BDE"/>
    <w:rsid w:val="0019553B"/>
    <w:rsid w:val="00196408"/>
    <w:rsid w:val="001B09A3"/>
    <w:rsid w:val="001B55DC"/>
    <w:rsid w:val="001B72A4"/>
    <w:rsid w:val="001C5D0F"/>
    <w:rsid w:val="001D2BF5"/>
    <w:rsid w:val="001F3FF4"/>
    <w:rsid w:val="001F6C4C"/>
    <w:rsid w:val="00211CF2"/>
    <w:rsid w:val="00222C06"/>
    <w:rsid w:val="002266D7"/>
    <w:rsid w:val="00233BD0"/>
    <w:rsid w:val="002346B2"/>
    <w:rsid w:val="00247CF0"/>
    <w:rsid w:val="002639C2"/>
    <w:rsid w:val="002657C7"/>
    <w:rsid w:val="002855C9"/>
    <w:rsid w:val="002C3AD0"/>
    <w:rsid w:val="002C4AF6"/>
    <w:rsid w:val="002E1D8F"/>
    <w:rsid w:val="002F2E9C"/>
    <w:rsid w:val="002F793C"/>
    <w:rsid w:val="00332746"/>
    <w:rsid w:val="00362329"/>
    <w:rsid w:val="00363029"/>
    <w:rsid w:val="003B636C"/>
    <w:rsid w:val="003B6D12"/>
    <w:rsid w:val="003D0768"/>
    <w:rsid w:val="003E6141"/>
    <w:rsid w:val="004169E9"/>
    <w:rsid w:val="00423722"/>
    <w:rsid w:val="004511B5"/>
    <w:rsid w:val="00495DA6"/>
    <w:rsid w:val="00495F1E"/>
    <w:rsid w:val="004A367E"/>
    <w:rsid w:val="004C1589"/>
    <w:rsid w:val="004C6EBE"/>
    <w:rsid w:val="004D109B"/>
    <w:rsid w:val="004D44F1"/>
    <w:rsid w:val="004F0B85"/>
    <w:rsid w:val="004F683C"/>
    <w:rsid w:val="005022A8"/>
    <w:rsid w:val="005120D4"/>
    <w:rsid w:val="00513800"/>
    <w:rsid w:val="0051753C"/>
    <w:rsid w:val="00522E9B"/>
    <w:rsid w:val="00540E8C"/>
    <w:rsid w:val="0054789D"/>
    <w:rsid w:val="00572D44"/>
    <w:rsid w:val="00582317"/>
    <w:rsid w:val="00592683"/>
    <w:rsid w:val="005A0C79"/>
    <w:rsid w:val="005A762F"/>
    <w:rsid w:val="005B3CE6"/>
    <w:rsid w:val="005B79BC"/>
    <w:rsid w:val="005C2C9A"/>
    <w:rsid w:val="005D4B08"/>
    <w:rsid w:val="005F447D"/>
    <w:rsid w:val="005F4FDD"/>
    <w:rsid w:val="006207A0"/>
    <w:rsid w:val="006239CF"/>
    <w:rsid w:val="00625FB7"/>
    <w:rsid w:val="00632563"/>
    <w:rsid w:val="0063496B"/>
    <w:rsid w:val="006403F1"/>
    <w:rsid w:val="00645CF7"/>
    <w:rsid w:val="00655BF6"/>
    <w:rsid w:val="006723F0"/>
    <w:rsid w:val="00677EA0"/>
    <w:rsid w:val="00681564"/>
    <w:rsid w:val="00693C47"/>
    <w:rsid w:val="00694042"/>
    <w:rsid w:val="006B6047"/>
    <w:rsid w:val="006E21C1"/>
    <w:rsid w:val="006E74C0"/>
    <w:rsid w:val="006F0134"/>
    <w:rsid w:val="007017C7"/>
    <w:rsid w:val="0070380A"/>
    <w:rsid w:val="00767E24"/>
    <w:rsid w:val="007774EF"/>
    <w:rsid w:val="00797724"/>
    <w:rsid w:val="007A4E15"/>
    <w:rsid w:val="007C7CB6"/>
    <w:rsid w:val="007D04D2"/>
    <w:rsid w:val="007D2CB0"/>
    <w:rsid w:val="007E5BFF"/>
    <w:rsid w:val="007E65E5"/>
    <w:rsid w:val="008062C5"/>
    <w:rsid w:val="008241F1"/>
    <w:rsid w:val="00826AF1"/>
    <w:rsid w:val="00844A29"/>
    <w:rsid w:val="00875F80"/>
    <w:rsid w:val="00886BC6"/>
    <w:rsid w:val="008A31C6"/>
    <w:rsid w:val="008A34CB"/>
    <w:rsid w:val="008B5174"/>
    <w:rsid w:val="008B5495"/>
    <w:rsid w:val="008E0AE8"/>
    <w:rsid w:val="008E321C"/>
    <w:rsid w:val="008F7C87"/>
    <w:rsid w:val="0090619B"/>
    <w:rsid w:val="009202D8"/>
    <w:rsid w:val="00926069"/>
    <w:rsid w:val="00954E8E"/>
    <w:rsid w:val="0095755E"/>
    <w:rsid w:val="00987730"/>
    <w:rsid w:val="009A518A"/>
    <w:rsid w:val="009C5C4B"/>
    <w:rsid w:val="009E1E8B"/>
    <w:rsid w:val="009F3E36"/>
    <w:rsid w:val="009F68FD"/>
    <w:rsid w:val="00A00EB8"/>
    <w:rsid w:val="00A13AD3"/>
    <w:rsid w:val="00A57180"/>
    <w:rsid w:val="00A576A3"/>
    <w:rsid w:val="00AA3657"/>
    <w:rsid w:val="00AB34CE"/>
    <w:rsid w:val="00AC1C39"/>
    <w:rsid w:val="00B12E19"/>
    <w:rsid w:val="00B246F8"/>
    <w:rsid w:val="00B47E1C"/>
    <w:rsid w:val="00B5033A"/>
    <w:rsid w:val="00B96132"/>
    <w:rsid w:val="00BA19FB"/>
    <w:rsid w:val="00BC6294"/>
    <w:rsid w:val="00BD182F"/>
    <w:rsid w:val="00BF5B39"/>
    <w:rsid w:val="00C2371A"/>
    <w:rsid w:val="00C31770"/>
    <w:rsid w:val="00C701A5"/>
    <w:rsid w:val="00C75130"/>
    <w:rsid w:val="00C87554"/>
    <w:rsid w:val="00C94A59"/>
    <w:rsid w:val="00C95B98"/>
    <w:rsid w:val="00CA5717"/>
    <w:rsid w:val="00CD4F77"/>
    <w:rsid w:val="00CE613E"/>
    <w:rsid w:val="00CE73E0"/>
    <w:rsid w:val="00CF1F61"/>
    <w:rsid w:val="00D002F6"/>
    <w:rsid w:val="00D112EC"/>
    <w:rsid w:val="00D145DC"/>
    <w:rsid w:val="00D24972"/>
    <w:rsid w:val="00D25D8B"/>
    <w:rsid w:val="00D26E18"/>
    <w:rsid w:val="00D475F8"/>
    <w:rsid w:val="00D56662"/>
    <w:rsid w:val="00D71201"/>
    <w:rsid w:val="00D73BD1"/>
    <w:rsid w:val="00D74DEE"/>
    <w:rsid w:val="00D7640A"/>
    <w:rsid w:val="00DC3517"/>
    <w:rsid w:val="00DC44C7"/>
    <w:rsid w:val="00DE6C27"/>
    <w:rsid w:val="00DF2B2B"/>
    <w:rsid w:val="00E3215E"/>
    <w:rsid w:val="00E66CBD"/>
    <w:rsid w:val="00E84A78"/>
    <w:rsid w:val="00E86EB3"/>
    <w:rsid w:val="00E958AB"/>
    <w:rsid w:val="00EC13F5"/>
    <w:rsid w:val="00EC20AD"/>
    <w:rsid w:val="00EC3040"/>
    <w:rsid w:val="00ED2AAB"/>
    <w:rsid w:val="00EE008C"/>
    <w:rsid w:val="00EE055D"/>
    <w:rsid w:val="00EE0F4C"/>
    <w:rsid w:val="00EE1206"/>
    <w:rsid w:val="00EE1621"/>
    <w:rsid w:val="00EF278B"/>
    <w:rsid w:val="00F1411E"/>
    <w:rsid w:val="00F35266"/>
    <w:rsid w:val="00F35AA2"/>
    <w:rsid w:val="00F35E6A"/>
    <w:rsid w:val="00F53BAE"/>
    <w:rsid w:val="00F666F2"/>
    <w:rsid w:val="00F80F09"/>
    <w:rsid w:val="00F87B59"/>
    <w:rsid w:val="00F90D18"/>
    <w:rsid w:val="00FA7380"/>
    <w:rsid w:val="00FC6E75"/>
    <w:rsid w:val="585A9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C1F8B"/>
  <w15:chartTrackingRefBased/>
  <w15:docId w15:val="{6D57A46B-47FF-4501-BBEB-E2F75DED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7C7"/>
    <w:pPr>
      <w:spacing w:after="200" w:line="276" w:lineRule="auto"/>
    </w:pPr>
    <w:rPr>
      <w:rFonts w:ascii="Aptos" w:eastAsiaTheme="minorEastAsia" w:hAnsi="Aptos"/>
      <w:kern w:val="0"/>
      <w:szCs w:val="22"/>
      <w:lang w:val="en-US"/>
      <w14:ligatures w14:val="none"/>
    </w:rPr>
  </w:style>
  <w:style w:type="paragraph" w:styleId="Heading1">
    <w:name w:val="heading 1"/>
    <w:basedOn w:val="Normal"/>
    <w:next w:val="Normal"/>
    <w:link w:val="Heading1Char"/>
    <w:uiPriority w:val="9"/>
    <w:qFormat/>
    <w:rsid w:val="00211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1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C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C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11CF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11C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1CF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1CF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1CF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CF2"/>
    <w:rPr>
      <w:rFonts w:asciiTheme="majorHAnsi" w:eastAsiaTheme="majorEastAsia" w:hAnsiTheme="majorHAnsi" w:cstheme="majorBidi"/>
      <w:color w:val="0F4761" w:themeColor="accent1" w:themeShade="BF"/>
      <w:kern w:val="0"/>
      <w:sz w:val="40"/>
      <w:szCs w:val="40"/>
      <w:lang w:val="en-US"/>
      <w14:ligatures w14:val="none"/>
    </w:rPr>
  </w:style>
  <w:style w:type="character" w:customStyle="1" w:styleId="Heading2Char">
    <w:name w:val="Heading 2 Char"/>
    <w:basedOn w:val="DefaultParagraphFont"/>
    <w:link w:val="Heading2"/>
    <w:uiPriority w:val="9"/>
    <w:rsid w:val="00211CF2"/>
    <w:rPr>
      <w:rFonts w:asciiTheme="majorHAnsi" w:eastAsiaTheme="majorEastAsia" w:hAnsiTheme="majorHAnsi" w:cstheme="majorBidi"/>
      <w:color w:val="0F4761" w:themeColor="accent1" w:themeShade="BF"/>
      <w:kern w:val="0"/>
      <w:sz w:val="32"/>
      <w:szCs w:val="32"/>
      <w:lang w:val="en-US"/>
      <w14:ligatures w14:val="none"/>
    </w:rPr>
  </w:style>
  <w:style w:type="character" w:customStyle="1" w:styleId="Heading3Char">
    <w:name w:val="Heading 3 Char"/>
    <w:basedOn w:val="DefaultParagraphFont"/>
    <w:link w:val="Heading3"/>
    <w:uiPriority w:val="9"/>
    <w:semiHidden/>
    <w:rsid w:val="00211CF2"/>
    <w:rPr>
      <w:rFonts w:eastAsiaTheme="majorEastAsia" w:cstheme="majorBidi"/>
      <w:color w:val="0F4761" w:themeColor="accent1" w:themeShade="BF"/>
      <w:kern w:val="0"/>
      <w:sz w:val="28"/>
      <w:szCs w:val="28"/>
      <w:lang w:val="en-US"/>
      <w14:ligatures w14:val="none"/>
    </w:rPr>
  </w:style>
  <w:style w:type="character" w:customStyle="1" w:styleId="Heading4Char">
    <w:name w:val="Heading 4 Char"/>
    <w:basedOn w:val="DefaultParagraphFont"/>
    <w:link w:val="Heading4"/>
    <w:uiPriority w:val="9"/>
    <w:semiHidden/>
    <w:rsid w:val="00211CF2"/>
    <w:rPr>
      <w:rFonts w:eastAsiaTheme="majorEastAsia" w:cstheme="majorBidi"/>
      <w:i/>
      <w:iCs/>
      <w:color w:val="0F4761" w:themeColor="accent1" w:themeShade="BF"/>
      <w:kern w:val="0"/>
      <w:sz w:val="22"/>
      <w:szCs w:val="22"/>
      <w:lang w:val="en-US"/>
      <w14:ligatures w14:val="none"/>
    </w:rPr>
  </w:style>
  <w:style w:type="character" w:customStyle="1" w:styleId="Heading5Char">
    <w:name w:val="Heading 5 Char"/>
    <w:basedOn w:val="DefaultParagraphFont"/>
    <w:link w:val="Heading5"/>
    <w:uiPriority w:val="9"/>
    <w:semiHidden/>
    <w:rsid w:val="00211CF2"/>
    <w:rPr>
      <w:rFonts w:eastAsiaTheme="majorEastAsia" w:cstheme="majorBidi"/>
      <w:color w:val="0F4761" w:themeColor="accent1" w:themeShade="BF"/>
      <w:kern w:val="0"/>
      <w:sz w:val="22"/>
      <w:szCs w:val="22"/>
      <w:lang w:val="en-US"/>
      <w14:ligatures w14:val="none"/>
    </w:rPr>
  </w:style>
  <w:style w:type="character" w:customStyle="1" w:styleId="Heading6Char">
    <w:name w:val="Heading 6 Char"/>
    <w:basedOn w:val="DefaultParagraphFont"/>
    <w:link w:val="Heading6"/>
    <w:uiPriority w:val="9"/>
    <w:semiHidden/>
    <w:rsid w:val="00211CF2"/>
    <w:rPr>
      <w:rFonts w:eastAsiaTheme="majorEastAsia" w:cstheme="majorBidi"/>
      <w:i/>
      <w:iCs/>
      <w:color w:val="595959" w:themeColor="text1" w:themeTint="A6"/>
      <w:kern w:val="0"/>
      <w:sz w:val="22"/>
      <w:szCs w:val="22"/>
      <w:lang w:val="en-US"/>
      <w14:ligatures w14:val="none"/>
    </w:rPr>
  </w:style>
  <w:style w:type="character" w:customStyle="1" w:styleId="Heading7Char">
    <w:name w:val="Heading 7 Char"/>
    <w:basedOn w:val="DefaultParagraphFont"/>
    <w:link w:val="Heading7"/>
    <w:uiPriority w:val="9"/>
    <w:semiHidden/>
    <w:rsid w:val="00211CF2"/>
    <w:rPr>
      <w:rFonts w:eastAsiaTheme="majorEastAsia" w:cstheme="majorBidi"/>
      <w:color w:val="595959" w:themeColor="text1" w:themeTint="A6"/>
      <w:kern w:val="0"/>
      <w:sz w:val="22"/>
      <w:szCs w:val="22"/>
      <w:lang w:val="en-US"/>
      <w14:ligatures w14:val="none"/>
    </w:rPr>
  </w:style>
  <w:style w:type="character" w:customStyle="1" w:styleId="Heading8Char">
    <w:name w:val="Heading 8 Char"/>
    <w:basedOn w:val="DefaultParagraphFont"/>
    <w:link w:val="Heading8"/>
    <w:uiPriority w:val="9"/>
    <w:semiHidden/>
    <w:rsid w:val="00211CF2"/>
    <w:rPr>
      <w:rFonts w:eastAsiaTheme="majorEastAsia" w:cstheme="majorBidi"/>
      <w:i/>
      <w:iCs/>
      <w:color w:val="272727" w:themeColor="text1" w:themeTint="D8"/>
      <w:kern w:val="0"/>
      <w:sz w:val="22"/>
      <w:szCs w:val="22"/>
      <w:lang w:val="en-US"/>
      <w14:ligatures w14:val="none"/>
    </w:rPr>
  </w:style>
  <w:style w:type="character" w:customStyle="1" w:styleId="Heading9Char">
    <w:name w:val="Heading 9 Char"/>
    <w:basedOn w:val="DefaultParagraphFont"/>
    <w:link w:val="Heading9"/>
    <w:uiPriority w:val="9"/>
    <w:semiHidden/>
    <w:rsid w:val="00211CF2"/>
    <w:rPr>
      <w:rFonts w:eastAsiaTheme="majorEastAsia" w:cstheme="majorBidi"/>
      <w:color w:val="272727" w:themeColor="text1" w:themeTint="D8"/>
      <w:kern w:val="0"/>
      <w:sz w:val="22"/>
      <w:szCs w:val="22"/>
      <w:lang w:val="en-US"/>
      <w14:ligatures w14:val="none"/>
    </w:rPr>
  </w:style>
  <w:style w:type="paragraph" w:styleId="Title">
    <w:name w:val="Title"/>
    <w:basedOn w:val="Normal"/>
    <w:next w:val="Normal"/>
    <w:link w:val="TitleChar"/>
    <w:uiPriority w:val="10"/>
    <w:qFormat/>
    <w:rsid w:val="00211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CF2"/>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211CF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CF2"/>
    <w:rPr>
      <w:rFonts w:eastAsiaTheme="majorEastAsia"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211C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1CF2"/>
    <w:rPr>
      <w:rFonts w:ascii="Calibri" w:eastAsiaTheme="minorEastAsia" w:hAnsi="Calibri"/>
      <w:i/>
      <w:iCs/>
      <w:color w:val="404040" w:themeColor="text1" w:themeTint="BF"/>
      <w:kern w:val="0"/>
      <w:sz w:val="22"/>
      <w:szCs w:val="22"/>
      <w:lang w:val="en-US"/>
      <w14:ligatures w14:val="none"/>
    </w:rPr>
  </w:style>
  <w:style w:type="paragraph" w:styleId="ListParagraph">
    <w:name w:val="List Paragraph"/>
    <w:basedOn w:val="Normal"/>
    <w:uiPriority w:val="34"/>
    <w:qFormat/>
    <w:rsid w:val="00211CF2"/>
    <w:pPr>
      <w:ind w:left="720"/>
      <w:contextualSpacing/>
    </w:pPr>
  </w:style>
  <w:style w:type="character" w:styleId="IntenseEmphasis">
    <w:name w:val="Intense Emphasis"/>
    <w:basedOn w:val="DefaultParagraphFont"/>
    <w:uiPriority w:val="21"/>
    <w:qFormat/>
    <w:rsid w:val="00211CF2"/>
    <w:rPr>
      <w:i/>
      <w:iCs/>
      <w:color w:val="0F4761" w:themeColor="accent1" w:themeShade="BF"/>
    </w:rPr>
  </w:style>
  <w:style w:type="paragraph" w:styleId="IntenseQuote">
    <w:name w:val="Intense Quote"/>
    <w:basedOn w:val="Normal"/>
    <w:next w:val="Normal"/>
    <w:link w:val="IntenseQuoteChar"/>
    <w:uiPriority w:val="30"/>
    <w:qFormat/>
    <w:rsid w:val="00211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CF2"/>
    <w:rPr>
      <w:rFonts w:ascii="Calibri" w:eastAsiaTheme="minorEastAsia" w:hAnsi="Calibri"/>
      <w:i/>
      <w:iCs/>
      <w:color w:val="0F4761" w:themeColor="accent1" w:themeShade="BF"/>
      <w:kern w:val="0"/>
      <w:sz w:val="22"/>
      <w:szCs w:val="22"/>
      <w:lang w:val="en-US"/>
      <w14:ligatures w14:val="none"/>
    </w:rPr>
  </w:style>
  <w:style w:type="character" w:styleId="IntenseReference">
    <w:name w:val="Intense Reference"/>
    <w:basedOn w:val="DefaultParagraphFont"/>
    <w:uiPriority w:val="32"/>
    <w:qFormat/>
    <w:rsid w:val="00211CF2"/>
    <w:rPr>
      <w:b/>
      <w:bCs/>
      <w:smallCaps/>
      <w:color w:val="0F4761" w:themeColor="accent1" w:themeShade="BF"/>
      <w:spacing w:val="5"/>
    </w:rPr>
  </w:style>
  <w:style w:type="character" w:styleId="Hyperlink">
    <w:name w:val="Hyperlink"/>
    <w:basedOn w:val="DefaultParagraphFont"/>
    <w:uiPriority w:val="99"/>
    <w:unhideWhenUsed/>
    <w:rsid w:val="00495DA6"/>
    <w:rPr>
      <w:color w:val="467886" w:themeColor="hyperlink"/>
      <w:u w:val="single"/>
    </w:rPr>
  </w:style>
  <w:style w:type="character" w:styleId="UnresolvedMention">
    <w:name w:val="Unresolved Mention"/>
    <w:basedOn w:val="DefaultParagraphFont"/>
    <w:uiPriority w:val="99"/>
    <w:semiHidden/>
    <w:unhideWhenUsed/>
    <w:rsid w:val="00495DA6"/>
    <w:rPr>
      <w:color w:val="605E5C"/>
      <w:shd w:val="clear" w:color="auto" w:fill="E1DFDD"/>
    </w:rPr>
  </w:style>
  <w:style w:type="paragraph" w:customStyle="1" w:styleId="paragraph">
    <w:name w:val="paragraph"/>
    <w:basedOn w:val="Normal"/>
    <w:rsid w:val="007017C7"/>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customStyle="1" w:styleId="normaltextrun">
    <w:name w:val="normaltextrun"/>
    <w:basedOn w:val="DefaultParagraphFont"/>
    <w:rsid w:val="007017C7"/>
  </w:style>
  <w:style w:type="character" w:customStyle="1" w:styleId="eop">
    <w:name w:val="eop"/>
    <w:basedOn w:val="DefaultParagraphFont"/>
    <w:rsid w:val="007017C7"/>
  </w:style>
  <w:style w:type="character" w:styleId="CommentReference">
    <w:name w:val="annotation reference"/>
    <w:basedOn w:val="DefaultParagraphFont"/>
    <w:uiPriority w:val="99"/>
    <w:semiHidden/>
    <w:unhideWhenUsed/>
    <w:rsid w:val="00592683"/>
    <w:rPr>
      <w:sz w:val="16"/>
      <w:szCs w:val="16"/>
    </w:rPr>
  </w:style>
  <w:style w:type="paragraph" w:styleId="CommentText">
    <w:name w:val="annotation text"/>
    <w:basedOn w:val="Normal"/>
    <w:link w:val="CommentTextChar"/>
    <w:uiPriority w:val="99"/>
    <w:unhideWhenUsed/>
    <w:rsid w:val="00592683"/>
    <w:pPr>
      <w:spacing w:line="240" w:lineRule="auto"/>
    </w:pPr>
    <w:rPr>
      <w:sz w:val="20"/>
      <w:szCs w:val="20"/>
    </w:rPr>
  </w:style>
  <w:style w:type="character" w:customStyle="1" w:styleId="CommentTextChar">
    <w:name w:val="Comment Text Char"/>
    <w:basedOn w:val="DefaultParagraphFont"/>
    <w:link w:val="CommentText"/>
    <w:uiPriority w:val="99"/>
    <w:rsid w:val="00592683"/>
    <w:rPr>
      <w:rFonts w:ascii="Aptos" w:eastAsiaTheme="minorEastAsia" w:hAnsi="Aptos"/>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92683"/>
    <w:rPr>
      <w:b/>
      <w:bCs/>
    </w:rPr>
  </w:style>
  <w:style w:type="character" w:customStyle="1" w:styleId="CommentSubjectChar">
    <w:name w:val="Comment Subject Char"/>
    <w:basedOn w:val="CommentTextChar"/>
    <w:link w:val="CommentSubject"/>
    <w:uiPriority w:val="99"/>
    <w:semiHidden/>
    <w:rsid w:val="00592683"/>
    <w:rPr>
      <w:rFonts w:ascii="Aptos" w:eastAsiaTheme="minorEastAsia" w:hAnsi="Aptos"/>
      <w:b/>
      <w:bCs/>
      <w:kern w:val="0"/>
      <w:sz w:val="20"/>
      <w:szCs w:val="20"/>
      <w:lang w:val="en-US"/>
      <w14:ligatures w14:val="none"/>
    </w:rPr>
  </w:style>
  <w:style w:type="table" w:styleId="ListTable3-Accent1">
    <w:name w:val="List Table 3 Accent 1"/>
    <w:basedOn w:val="TableNormal"/>
    <w:uiPriority w:val="48"/>
    <w:rsid w:val="004511B5"/>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1455</Words>
  <Characters>8294</Characters>
  <Application>Microsoft Office Word</Application>
  <DocSecurity>0</DocSecurity>
  <Lines>69</Lines>
  <Paragraphs>19</Paragraphs>
  <ScaleCrop>false</ScaleCrop>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Mallory</dc:creator>
  <cp:keywords/>
  <dc:description/>
  <cp:lastModifiedBy>Lindsey Mallory</cp:lastModifiedBy>
  <cp:revision>15</cp:revision>
  <dcterms:created xsi:type="dcterms:W3CDTF">2026-05-26T12:59:00Z</dcterms:created>
  <dcterms:modified xsi:type="dcterms:W3CDTF">2026-06-25T13:12:00Z</dcterms:modified>
</cp:coreProperties>
</file>