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78B1" w14:textId="0691BA96" w:rsidR="00AE17C3" w:rsidRDefault="00AE17C3">
      <w:r>
        <w:rPr>
          <w:noProof/>
        </w:rPr>
        <w:drawing>
          <wp:anchor distT="0" distB="0" distL="114300" distR="114300" simplePos="0" relativeHeight="251660288" behindDoc="0" locked="0" layoutInCell="1" allowOverlap="1" wp14:anchorId="1AD8B3AB" wp14:editId="28EC0EB6">
            <wp:simplePos x="0" y="0"/>
            <wp:positionH relativeFrom="page">
              <wp:posOffset>-41910</wp:posOffset>
            </wp:positionH>
            <wp:positionV relativeFrom="page">
              <wp:posOffset>9080</wp:posOffset>
            </wp:positionV>
            <wp:extent cx="7591425" cy="10737850"/>
            <wp:effectExtent l="0" t="0" r="9525" b="6350"/>
            <wp:wrapNone/>
            <wp:docPr id="1057704905" name="Picture 2" descr="A small animal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04905" name="Picture 2" descr="A small animal in the gras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1425" cy="10737850"/>
                    </a:xfrm>
                    <a:prstGeom prst="rect">
                      <a:avLst/>
                    </a:prstGeom>
                  </pic:spPr>
                </pic:pic>
              </a:graphicData>
            </a:graphic>
            <wp14:sizeRelH relativeFrom="margin">
              <wp14:pctWidth>0</wp14:pctWidth>
            </wp14:sizeRelH>
            <wp14:sizeRelV relativeFrom="margin">
              <wp14:pctHeight>0</wp14:pctHeight>
            </wp14:sizeRelV>
          </wp:anchor>
        </w:drawing>
      </w:r>
    </w:p>
    <w:sdt>
      <w:sdtPr>
        <w:id w:val="-1877155216"/>
        <w:docPartObj>
          <w:docPartGallery w:val="Cover Pages"/>
          <w:docPartUnique/>
        </w:docPartObj>
      </w:sdtPr>
      <w:sdtEndPr/>
      <w:sdtContent>
        <w:p w14:paraId="45BF2399" w14:textId="174D2BB0" w:rsidR="00AE17C3" w:rsidRDefault="00AE17C3">
          <w:r>
            <w:rPr>
              <w:noProof/>
            </w:rPr>
            <w:t>Z</w:t>
          </w:r>
        </w:p>
        <w:p w14:paraId="07DD056C" w14:textId="4525A732" w:rsidR="00AE17C3" w:rsidRDefault="00AE17C3" w:rsidP="00AE17C3">
          <w:r>
            <w:rPr>
              <w:noProof/>
            </w:rPr>
            <mc:AlternateContent>
              <mc:Choice Requires="wps">
                <w:drawing>
                  <wp:anchor distT="45720" distB="45720" distL="114300" distR="114300" simplePos="0" relativeHeight="251662336" behindDoc="0" locked="0" layoutInCell="1" allowOverlap="1" wp14:anchorId="4F1BC074" wp14:editId="395BF7F8">
                    <wp:simplePos x="0" y="0"/>
                    <wp:positionH relativeFrom="column">
                      <wp:posOffset>-159385</wp:posOffset>
                    </wp:positionH>
                    <wp:positionV relativeFrom="paragraph">
                      <wp:posOffset>704215</wp:posOffset>
                    </wp:positionV>
                    <wp:extent cx="6942455" cy="1169035"/>
                    <wp:effectExtent l="0" t="0" r="0" b="0"/>
                    <wp:wrapSquare wrapText="bothSides"/>
                    <wp:docPr id="46116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2455" cy="1169035"/>
                            </a:xfrm>
                            <a:prstGeom prst="rect">
                              <a:avLst/>
                            </a:prstGeom>
                            <a:noFill/>
                            <a:ln w="9525">
                              <a:noFill/>
                              <a:miter lim="800000"/>
                              <a:headEnd/>
                              <a:tailEnd/>
                            </a:ln>
                          </wps:spPr>
                          <wps:txbx>
                            <w:txbxContent>
                              <w:p w14:paraId="66938E5D" w14:textId="686A7128" w:rsidR="00AE17C3" w:rsidRPr="00AE17C3" w:rsidRDefault="00444171" w:rsidP="00AE17C3">
                                <w:pPr>
                                  <w:spacing w:after="0"/>
                                  <w:rPr>
                                    <w:rFonts w:ascii="Adelle Rg" w:hAnsi="Adelle Rg"/>
                                    <w:b/>
                                    <w:bCs/>
                                    <w:color w:val="FFFFFF" w:themeColor="background1"/>
                                    <w:sz w:val="72"/>
                                    <w:szCs w:val="72"/>
                                  </w:rPr>
                                </w:pPr>
                                <w:r>
                                  <w:rPr>
                                    <w:rFonts w:ascii="Adelle Rg" w:hAnsi="Adelle Rg"/>
                                    <w:b/>
                                    <w:bCs/>
                                    <w:color w:val="FFFFFF" w:themeColor="background1"/>
                                    <w:sz w:val="72"/>
                                    <w:szCs w:val="72"/>
                                  </w:rPr>
                                  <w:t xml:space="preserve">Fundraising </w:t>
                                </w:r>
                                <w:r w:rsidR="00F638E7">
                                  <w:rPr>
                                    <w:rFonts w:ascii="Adelle Rg" w:hAnsi="Adelle Rg"/>
                                    <w:b/>
                                    <w:bCs/>
                                    <w:color w:val="FFFFFF" w:themeColor="background1"/>
                                    <w:sz w:val="72"/>
                                    <w:szCs w:val="72"/>
                                  </w:rPr>
                                  <w:t>Research Office</w:t>
                                </w:r>
                                <w:r>
                                  <w:rPr>
                                    <w:rFonts w:ascii="Adelle Rg" w:hAnsi="Adelle Rg"/>
                                    <w:b/>
                                    <w:bCs/>
                                    <w:color w:val="FFFFFF" w:themeColor="background1"/>
                                    <w:sz w:val="72"/>
                                    <w:szCs w:val="72"/>
                                  </w:rPr>
                                  <w:t>r</w:t>
                                </w:r>
                              </w:p>
                              <w:p w14:paraId="34E19096" w14:textId="69D5BE8F" w:rsidR="00AE17C3" w:rsidRPr="00AE17C3" w:rsidRDefault="00AE17C3">
                                <w:pPr>
                                  <w:rPr>
                                    <w:rFonts w:ascii="Adelle Rg" w:hAnsi="Adelle Rg"/>
                                    <w:color w:val="FFFFFF" w:themeColor="background1"/>
                                    <w:sz w:val="60"/>
                                    <w:szCs w:val="60"/>
                                  </w:rPr>
                                </w:pPr>
                                <w:r w:rsidRPr="00AE17C3">
                                  <w:rPr>
                                    <w:rFonts w:ascii="Adelle Rg" w:hAnsi="Adelle Rg"/>
                                    <w:color w:val="FFFFFF" w:themeColor="background1"/>
                                    <w:sz w:val="60"/>
                                    <w:szCs w:val="60"/>
                                  </w:rPr>
                                  <w:t xml:space="preserve">Job Description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BC074" id="_x0000_t202" coordsize="21600,21600" o:spt="202" path="m,l,21600r21600,l21600,xe">
                    <v:stroke joinstyle="miter"/>
                    <v:path gradientshapeok="t" o:connecttype="rect"/>
                  </v:shapetype>
                  <v:shape id="Text Box 2" o:spid="_x0000_s1026" type="#_x0000_t202" style="position:absolute;margin-left:-12.55pt;margin-top:55.45pt;width:546.65pt;height:92.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" filled="f" stroked="f">
                    <v:textbox>
                      <w:txbxContent>
                        <w:p w14:paraId="66938E5D" w14:textId="686A7128" w:rsidR="00AE17C3" w:rsidRPr="00AE17C3" w:rsidRDefault="00444171" w:rsidP="00AE17C3">
                          <w:pPr>
                            <w:spacing w:after="0"/>
                            <w:rPr>
                              <w:rFonts w:ascii="Adelle Rg" w:hAnsi="Adelle Rg"/>
                              <w:b/>
                              <w:bCs/>
                              <w:color w:val="FFFFFF" w:themeColor="background1"/>
                              <w:sz w:val="72"/>
                              <w:szCs w:val="72"/>
                            </w:rPr>
                          </w:pPr>
                          <w:r>
                            <w:rPr>
                              <w:rFonts w:ascii="Adelle Rg" w:hAnsi="Adelle Rg"/>
                              <w:b/>
                              <w:bCs/>
                              <w:color w:val="FFFFFF" w:themeColor="background1"/>
                              <w:sz w:val="72"/>
                              <w:szCs w:val="72"/>
                            </w:rPr>
                            <w:t xml:space="preserve">Fundraising </w:t>
                          </w:r>
                          <w:r w:rsidR="00F638E7">
                            <w:rPr>
                              <w:rFonts w:ascii="Adelle Rg" w:hAnsi="Adelle Rg"/>
                              <w:b/>
                              <w:bCs/>
                              <w:color w:val="FFFFFF" w:themeColor="background1"/>
                              <w:sz w:val="72"/>
                              <w:szCs w:val="72"/>
                            </w:rPr>
                            <w:t>Research Office</w:t>
                          </w:r>
                          <w:r>
                            <w:rPr>
                              <w:rFonts w:ascii="Adelle Rg" w:hAnsi="Adelle Rg"/>
                              <w:b/>
                              <w:bCs/>
                              <w:color w:val="FFFFFF" w:themeColor="background1"/>
                              <w:sz w:val="72"/>
                              <w:szCs w:val="72"/>
                            </w:rPr>
                            <w:t>r</w:t>
                          </w:r>
                        </w:p>
                        <w:p w14:paraId="34E19096" w14:textId="69D5BE8F" w:rsidR="00AE17C3" w:rsidRPr="00AE17C3" w:rsidRDefault="00AE17C3">
                          <w:pPr>
                            <w:rPr>
                              <w:rFonts w:ascii="Adelle Rg" w:hAnsi="Adelle Rg"/>
                              <w:color w:val="FFFFFF" w:themeColor="background1"/>
                              <w:sz w:val="60"/>
                              <w:szCs w:val="60"/>
                            </w:rPr>
                          </w:pPr>
                          <w:r w:rsidRPr="00AE17C3">
                            <w:rPr>
                              <w:rFonts w:ascii="Adelle Rg" w:hAnsi="Adelle Rg"/>
                              <w:color w:val="FFFFFF" w:themeColor="background1"/>
                              <w:sz w:val="60"/>
                              <w:szCs w:val="60"/>
                            </w:rPr>
                            <w:t xml:space="preserve">Job Description </w:t>
                          </w:r>
                        </w:p>
                      </w:txbxContent>
                    </v:textbox>
                    <w10:wrap type="square"/>
                  </v:shape>
                </w:pict>
              </mc:Fallback>
            </mc:AlternateContent>
          </w:r>
          <w:r>
            <w:br w:type="page"/>
          </w:r>
        </w:p>
      </w:sdtContent>
    </w:sdt>
    <w:p w14:paraId="7CB17203" w14:textId="2A6BE280" w:rsidR="0010605C" w:rsidRPr="00AE17C3" w:rsidRDefault="0010605C" w:rsidP="00AE17C3">
      <w:pPr>
        <w:pStyle w:val="Docsubtitle16pt"/>
      </w:pPr>
      <w:r>
        <w:lastRenderedPageBreak/>
        <w:t>About us</w:t>
      </w:r>
    </w:p>
    <w:p w14:paraId="3E6FD9EC" w14:textId="77777777" w:rsidR="0010605C" w:rsidRPr="001464ED" w:rsidRDefault="0010605C" w:rsidP="0010605C">
      <w:pPr>
        <w:keepNext/>
        <w:jc w:val="both"/>
        <w:outlineLvl w:val="0"/>
        <w:rPr>
          <w:rFonts w:ascii="Calibri" w:hAnsi="Calibri" w:cs="Calibri"/>
          <w:sz w:val="24"/>
          <w:szCs w:val="24"/>
        </w:rPr>
      </w:pPr>
      <w:r w:rsidRPr="001464ED">
        <w:rPr>
          <w:rFonts w:ascii="Calibri" w:hAnsi="Calibri" w:cs="Calibri"/>
          <w:sz w:val="24"/>
          <w:szCs w:val="24"/>
        </w:rPr>
        <w:t xml:space="preserve">Yorkshire Wildlife Trust is one of the region’s largest environmental charities; our mission is to </w:t>
      </w:r>
      <w:r w:rsidRPr="001464ED">
        <w:rPr>
          <w:rFonts w:ascii="Calibri" w:hAnsi="Calibri" w:cs="Calibri"/>
          <w:b/>
          <w:bCs/>
          <w:i/>
          <w:iCs/>
          <w:sz w:val="24"/>
          <w:szCs w:val="24"/>
        </w:rPr>
        <w:t>drive nature’s recovery in Yorkshire</w:t>
      </w:r>
      <w:r w:rsidRPr="001464ED">
        <w:rPr>
          <w:rFonts w:ascii="Calibri" w:hAnsi="Calibri" w:cs="Calibri"/>
          <w:i/>
          <w:iCs/>
          <w:sz w:val="24"/>
          <w:szCs w:val="24"/>
        </w:rPr>
        <w:t xml:space="preserve"> </w:t>
      </w:r>
      <w:r w:rsidRPr="001464ED">
        <w:rPr>
          <w:rFonts w:ascii="Calibri" w:hAnsi="Calibri" w:cs="Calibri"/>
          <w:sz w:val="24"/>
          <w:szCs w:val="24"/>
        </w:rPr>
        <w:t>across our land and at sea.</w:t>
      </w:r>
    </w:p>
    <w:p w14:paraId="6407FDE3" w14:textId="77777777" w:rsidR="0010605C" w:rsidRPr="001464ED" w:rsidRDefault="0010605C" w:rsidP="0010605C">
      <w:pPr>
        <w:rPr>
          <w:rFonts w:ascii="Calibri" w:hAnsi="Calibri" w:cs="Calibri"/>
          <w:sz w:val="24"/>
          <w:szCs w:val="24"/>
        </w:rPr>
      </w:pPr>
      <w:r w:rsidRPr="001464ED">
        <w:rPr>
          <w:rFonts w:ascii="Calibri" w:hAnsi="Calibri" w:cs="Calibri"/>
          <w:sz w:val="24"/>
          <w:szCs w:val="24"/>
        </w:rPr>
        <w:t xml:space="preserve">We are one of 46 regional Wildlife Trusts working for nature and collectively forming the Wildlife Trusts, one of the largest collective national movements for wildlife in Europe.  </w:t>
      </w:r>
    </w:p>
    <w:p w14:paraId="21A3CE6D" w14:textId="1EDAFE99" w:rsidR="0010605C" w:rsidRPr="001464ED" w:rsidRDefault="0010605C" w:rsidP="0010605C">
      <w:pPr>
        <w:rPr>
          <w:rFonts w:ascii="Calibri" w:hAnsi="Calibri" w:cs="Calibri"/>
          <w:sz w:val="24"/>
          <w:szCs w:val="24"/>
        </w:rPr>
      </w:pPr>
      <w:r w:rsidRPr="001464ED">
        <w:rPr>
          <w:rFonts w:ascii="Calibri" w:hAnsi="Calibri" w:cs="Calibri"/>
          <w:sz w:val="24"/>
          <w:szCs w:val="24"/>
        </w:rPr>
        <w:t xml:space="preserve">Our vision is for </w:t>
      </w:r>
      <w:r w:rsidRPr="001464ED">
        <w:rPr>
          <w:rFonts w:ascii="Calibri" w:hAnsi="Calibri" w:cs="Calibri"/>
          <w:b/>
          <w:bCs/>
          <w:i/>
          <w:iCs/>
          <w:sz w:val="24"/>
          <w:szCs w:val="24"/>
        </w:rPr>
        <w:t xml:space="preserve">wildlife and people thrive together across Yorkshire’s communities, land, rivers and sea. </w:t>
      </w:r>
      <w:r w:rsidRPr="001464ED">
        <w:rPr>
          <w:rFonts w:ascii="Calibri" w:hAnsi="Calibri" w:cs="Calibri"/>
          <w:sz w:val="24"/>
          <w:szCs w:val="24"/>
        </w:rPr>
        <w:t xml:space="preserve">We work holistically in </w:t>
      </w:r>
      <w:r w:rsidR="00CE4819" w:rsidRPr="001464ED">
        <w:rPr>
          <w:rFonts w:ascii="Calibri" w:hAnsi="Calibri" w:cs="Calibri"/>
          <w:sz w:val="24"/>
          <w:szCs w:val="24"/>
        </w:rPr>
        <w:t>nature,</w:t>
      </w:r>
      <w:r w:rsidRPr="001464ED">
        <w:rPr>
          <w:rFonts w:ascii="Calibri" w:hAnsi="Calibri" w:cs="Calibri"/>
          <w:sz w:val="24"/>
          <w:szCs w:val="24"/>
        </w:rPr>
        <w:t xml:space="preserve"> thinking globally, planning at regional and landscape scale, while delivering our work in partnership with local communities, caring for local wildlife together. Our dedicated team of staff (c.190) and volunteers (c.1000) work together, on behalf of all our </w:t>
      </w:r>
      <w:r w:rsidR="00CE4819" w:rsidRPr="001464ED">
        <w:rPr>
          <w:rFonts w:ascii="Calibri" w:hAnsi="Calibri" w:cs="Calibri"/>
          <w:sz w:val="24"/>
          <w:szCs w:val="24"/>
        </w:rPr>
        <w:t>members</w:t>
      </w:r>
      <w:r w:rsidRPr="001464ED">
        <w:rPr>
          <w:rFonts w:ascii="Calibri" w:hAnsi="Calibri" w:cs="Calibri"/>
          <w:sz w:val="24"/>
          <w:szCs w:val="24"/>
        </w:rPr>
        <w:t xml:space="preserve"> (c.41,000), in every corner of Yorkshire to make this vision a reality. </w:t>
      </w:r>
    </w:p>
    <w:p w14:paraId="2432E0B9" w14:textId="77777777" w:rsidR="0010605C" w:rsidRPr="001464ED" w:rsidRDefault="0010605C" w:rsidP="0010605C">
      <w:pPr>
        <w:keepNext/>
        <w:jc w:val="both"/>
        <w:outlineLvl w:val="0"/>
        <w:rPr>
          <w:rFonts w:ascii="Calibri" w:hAnsi="Calibri" w:cs="Calibri"/>
          <w:sz w:val="24"/>
          <w:szCs w:val="24"/>
        </w:rPr>
      </w:pPr>
      <w:r w:rsidRPr="001464ED">
        <w:rPr>
          <w:rFonts w:ascii="Calibri" w:hAnsi="Calibri" w:cs="Calibri"/>
          <w:sz w:val="24"/>
          <w:szCs w:val="24"/>
        </w:rPr>
        <w:t xml:space="preserve">Since forming in 1946 with our first reserve at Askham Bog, we now steward 115 nature reserves, which cover more than 3000 hectares of land and include some of our most precious wildlife.  We also work extensively with other land managers, communities and businesses, to inspire, advise and deliver restoration work, supporting others too play their part in nature’s recovery.  </w:t>
      </w:r>
    </w:p>
    <w:p w14:paraId="4EE3EABA" w14:textId="77777777" w:rsidR="0010605C" w:rsidRPr="001464ED" w:rsidRDefault="0010605C" w:rsidP="0010605C">
      <w:pPr>
        <w:keepNext/>
        <w:jc w:val="both"/>
        <w:outlineLvl w:val="0"/>
        <w:rPr>
          <w:rFonts w:ascii="Calibri" w:eastAsiaTheme="minorHAnsi" w:hAnsi="Calibri" w:cs="Calibri"/>
          <w:kern w:val="2"/>
          <w:sz w:val="24"/>
          <w:szCs w:val="24"/>
          <w14:ligatures w14:val="standardContextual"/>
        </w:rPr>
      </w:pPr>
      <w:r w:rsidRPr="001464ED">
        <w:rPr>
          <w:rFonts w:ascii="Calibri" w:hAnsi="Calibri" w:cs="Calibri"/>
          <w:sz w:val="24"/>
          <w:szCs w:val="24"/>
        </w:rPr>
        <w:t xml:space="preserve">We are passionate advocates for Yorkshire’s incredible wildlife and wild places. </w:t>
      </w:r>
      <w:r w:rsidRPr="001464ED">
        <w:rPr>
          <w:rFonts w:ascii="Calibri" w:eastAsiaTheme="minorHAnsi" w:hAnsi="Calibri" w:cs="Calibri"/>
          <w:kern w:val="2"/>
          <w:sz w:val="24"/>
          <w:szCs w:val="24"/>
          <w14:ligatures w14:val="standardContextual"/>
        </w:rPr>
        <w:t xml:space="preserve">Join us and help create a diverse and inclusive team, committed to driving change for Yorkshire’s wildlife, communities and a positive future. </w:t>
      </w:r>
    </w:p>
    <w:p w14:paraId="3C7AA705" w14:textId="77777777" w:rsidR="006B2DAB" w:rsidRDefault="006B2DAB" w:rsidP="00F1102A">
      <w:pPr>
        <w:pStyle w:val="Docbodycopy"/>
      </w:pPr>
    </w:p>
    <w:p w14:paraId="7DFB77FC" w14:textId="77777777" w:rsidR="008D0605" w:rsidRDefault="008D0605" w:rsidP="000747D2">
      <w:pPr>
        <w:pStyle w:val="Docsub-title"/>
      </w:pPr>
    </w:p>
    <w:p w14:paraId="21F42590" w14:textId="77777777" w:rsidR="0028786E" w:rsidRDefault="0028786E">
      <w:pPr>
        <w:rPr>
          <w:rFonts w:ascii="Adelle Rg" w:hAnsi="Adelle Rg"/>
          <w:color w:val="008296"/>
          <w:sz w:val="28"/>
          <w:szCs w:val="32"/>
        </w:rPr>
      </w:pPr>
      <w:r>
        <w:br w:type="page"/>
      </w:r>
    </w:p>
    <w:p w14:paraId="111F4411" w14:textId="77777777" w:rsidR="0028786E" w:rsidRDefault="0028786E" w:rsidP="000747D2">
      <w:pPr>
        <w:pStyle w:val="Docsub-title"/>
      </w:pPr>
    </w:p>
    <w:p w14:paraId="677F6032" w14:textId="2E51BF29" w:rsidR="006B2DAB" w:rsidRPr="00153754" w:rsidRDefault="00A1255C" w:rsidP="000747D2">
      <w:pPr>
        <w:pStyle w:val="Docsub-title"/>
      </w:pPr>
      <w:r>
        <w:rPr>
          <w:noProof/>
        </w:rPr>
        <mc:AlternateContent>
          <mc:Choice Requires="wps">
            <w:drawing>
              <wp:anchor distT="45720" distB="45720" distL="114300" distR="114300" simplePos="0" relativeHeight="251659264" behindDoc="0" locked="0" layoutInCell="1" allowOverlap="1" wp14:anchorId="3C2B14F3" wp14:editId="5E8E0654">
                <wp:simplePos x="0" y="0"/>
                <wp:positionH relativeFrom="margin">
                  <wp:align>right</wp:align>
                </wp:positionH>
                <wp:positionV relativeFrom="page">
                  <wp:posOffset>1468578</wp:posOffset>
                </wp:positionV>
                <wp:extent cx="6293485" cy="4146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414655"/>
                        </a:xfrm>
                        <a:prstGeom prst="rect">
                          <a:avLst/>
                        </a:prstGeom>
                        <a:solidFill>
                          <a:srgbClr val="008296"/>
                        </a:solidFill>
                        <a:ln w="9525">
                          <a:noFill/>
                          <a:miter lim="800000"/>
                          <a:headEnd/>
                          <a:tailEnd/>
                        </a:ln>
                      </wps:spPr>
                      <wps:txbx>
                        <w:txbxContent>
                          <w:p w14:paraId="6529ADB7" w14:textId="7993861C" w:rsidR="000747D2" w:rsidRPr="000747D2" w:rsidRDefault="00444171" w:rsidP="000747D2">
                            <w:pPr>
                              <w:jc w:val="center"/>
                              <w:rPr>
                                <w:rFonts w:ascii="Adelle Rg" w:hAnsi="Adelle Rg"/>
                                <w:b/>
                                <w:bCs/>
                                <w:color w:val="FFFFFF" w:themeColor="background1"/>
                                <w:sz w:val="44"/>
                                <w:szCs w:val="44"/>
                              </w:rPr>
                            </w:pPr>
                            <w:r>
                              <w:rPr>
                                <w:rFonts w:ascii="Adelle Rg" w:hAnsi="Adelle Rg"/>
                                <w:b/>
                                <w:bCs/>
                                <w:color w:val="FFFFFF" w:themeColor="background1"/>
                                <w:sz w:val="44"/>
                                <w:szCs w:val="44"/>
                              </w:rPr>
                              <w:t xml:space="preserve">Fundraising </w:t>
                            </w:r>
                            <w:r w:rsidR="00F638E7">
                              <w:rPr>
                                <w:rFonts w:ascii="Adelle Rg" w:hAnsi="Adelle Rg"/>
                                <w:b/>
                                <w:bCs/>
                                <w:color w:val="FFFFFF" w:themeColor="background1"/>
                                <w:sz w:val="44"/>
                                <w:szCs w:val="44"/>
                              </w:rPr>
                              <w:t xml:space="preserve">Research Officer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B14F3" id="_x0000_s1027" type="#_x0000_t202" style="position:absolute;margin-left:444.35pt;margin-top:115.65pt;width:495.55pt;height:32.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" fillcolor="#008296" stroked="f">
                <v:textbox>
                  <w:txbxContent>
                    <w:p w14:paraId="6529ADB7" w14:textId="7993861C" w:rsidR="000747D2" w:rsidRPr="000747D2" w:rsidRDefault="00444171" w:rsidP="000747D2">
                      <w:pPr>
                        <w:jc w:val="center"/>
                        <w:rPr>
                          <w:rFonts w:ascii="Adelle Rg" w:hAnsi="Adelle Rg"/>
                          <w:b/>
                          <w:bCs/>
                          <w:color w:val="FFFFFF" w:themeColor="background1"/>
                          <w:sz w:val="44"/>
                          <w:szCs w:val="44"/>
                        </w:rPr>
                      </w:pPr>
                      <w:r>
                        <w:rPr>
                          <w:rFonts w:ascii="Adelle Rg" w:hAnsi="Adelle Rg"/>
                          <w:b/>
                          <w:bCs/>
                          <w:color w:val="FFFFFF" w:themeColor="background1"/>
                          <w:sz w:val="44"/>
                          <w:szCs w:val="44"/>
                        </w:rPr>
                        <w:t xml:space="preserve">Fundraising </w:t>
                      </w:r>
                      <w:r w:rsidR="00F638E7">
                        <w:rPr>
                          <w:rFonts w:ascii="Adelle Rg" w:hAnsi="Adelle Rg"/>
                          <w:b/>
                          <w:bCs/>
                          <w:color w:val="FFFFFF" w:themeColor="background1"/>
                          <w:sz w:val="44"/>
                          <w:szCs w:val="44"/>
                        </w:rPr>
                        <w:t xml:space="preserve">Research Officer </w:t>
                      </w:r>
                    </w:p>
                  </w:txbxContent>
                </v:textbox>
                <w10:wrap type="square" anchorx="margin" anchory="page"/>
              </v:shape>
            </w:pict>
          </mc:Fallback>
        </mc:AlternateContent>
      </w:r>
      <w:r w:rsidR="00E5219C" w:rsidRPr="00153754">
        <w:t>Job Description</w:t>
      </w:r>
    </w:p>
    <w:p w14:paraId="04C54071" w14:textId="7782EE2E" w:rsidR="00E5219C" w:rsidRPr="00153754" w:rsidRDefault="00E5219C" w:rsidP="00E5219C">
      <w:pPr>
        <w:rPr>
          <w:rFonts w:ascii="Calibri" w:hAnsi="Calibri" w:cs="Calibri"/>
          <w:b/>
          <w:bCs/>
          <w:color w:val="008296"/>
          <w:sz w:val="24"/>
          <w:szCs w:val="24"/>
        </w:rPr>
      </w:pPr>
      <w:r w:rsidRPr="000747D2">
        <w:rPr>
          <w:rFonts w:ascii="Calibri" w:hAnsi="Calibri" w:cs="Calibri"/>
          <w:b/>
          <w:bCs/>
          <w:sz w:val="24"/>
          <w:szCs w:val="24"/>
        </w:rPr>
        <w:t xml:space="preserve">Responsible </w:t>
      </w:r>
      <w:r w:rsidR="00FE3F39">
        <w:rPr>
          <w:rFonts w:ascii="Calibri" w:hAnsi="Calibri" w:cs="Calibri"/>
          <w:b/>
          <w:bCs/>
          <w:sz w:val="24"/>
          <w:szCs w:val="24"/>
        </w:rPr>
        <w:t>To</w:t>
      </w:r>
      <w:r w:rsidRPr="00815DAF">
        <w:rPr>
          <w:rFonts w:ascii="Calibri" w:hAnsi="Calibri" w:cs="Calibri"/>
          <w:b/>
          <w:bCs/>
          <w:sz w:val="24"/>
          <w:szCs w:val="24"/>
        </w:rPr>
        <w:t xml:space="preserve">: </w:t>
      </w:r>
      <w:r w:rsidR="0028786E">
        <w:rPr>
          <w:rFonts w:ascii="Calibri" w:hAnsi="Calibri" w:cs="Calibri"/>
          <w:b/>
          <w:bCs/>
          <w:sz w:val="24"/>
          <w:szCs w:val="24"/>
        </w:rPr>
        <w:tab/>
      </w:r>
      <w:r w:rsidR="00ED6C67">
        <w:rPr>
          <w:rStyle w:val="DocbodycopyChar"/>
        </w:rPr>
        <w:t>Individual Giving Manager</w:t>
      </w:r>
    </w:p>
    <w:p w14:paraId="1E45DAE3" w14:textId="74F848C7" w:rsidR="00E5219C" w:rsidRPr="00153754" w:rsidRDefault="00E5219C" w:rsidP="00E5219C">
      <w:pPr>
        <w:rPr>
          <w:rFonts w:ascii="Calibri" w:hAnsi="Calibri" w:cs="Calibri"/>
          <w:b/>
          <w:bCs/>
          <w:color w:val="008296"/>
          <w:sz w:val="24"/>
          <w:szCs w:val="24"/>
        </w:rPr>
      </w:pPr>
      <w:r w:rsidRPr="000747D2">
        <w:rPr>
          <w:rFonts w:ascii="Calibri" w:hAnsi="Calibri" w:cs="Calibri"/>
          <w:b/>
          <w:bCs/>
          <w:sz w:val="24"/>
          <w:szCs w:val="24"/>
        </w:rPr>
        <w:t xml:space="preserve">Responsible </w:t>
      </w:r>
      <w:r w:rsidR="00FE3F39">
        <w:rPr>
          <w:rFonts w:ascii="Calibri" w:hAnsi="Calibri" w:cs="Calibri"/>
          <w:b/>
          <w:bCs/>
          <w:sz w:val="24"/>
          <w:szCs w:val="24"/>
        </w:rPr>
        <w:t>For</w:t>
      </w:r>
      <w:r w:rsidRPr="000747D2">
        <w:rPr>
          <w:rFonts w:ascii="Calibri" w:hAnsi="Calibri" w:cs="Calibri"/>
          <w:b/>
          <w:bCs/>
          <w:sz w:val="24"/>
          <w:szCs w:val="24"/>
        </w:rPr>
        <w:t>:</w:t>
      </w:r>
      <w:r w:rsidR="00153754" w:rsidRPr="000747D2">
        <w:rPr>
          <w:rFonts w:ascii="Calibri" w:hAnsi="Calibri" w:cs="Calibri"/>
          <w:b/>
          <w:bCs/>
          <w:sz w:val="24"/>
          <w:szCs w:val="24"/>
        </w:rPr>
        <w:t xml:space="preserve"> </w:t>
      </w:r>
      <w:r w:rsidR="0028786E">
        <w:rPr>
          <w:rFonts w:ascii="Calibri" w:hAnsi="Calibri" w:cs="Calibri"/>
          <w:b/>
          <w:bCs/>
          <w:sz w:val="24"/>
          <w:szCs w:val="24"/>
        </w:rPr>
        <w:tab/>
      </w:r>
      <w:r w:rsidR="00ED6C67">
        <w:rPr>
          <w:rStyle w:val="DocbodycopyChar"/>
        </w:rPr>
        <w:t>Volunteers</w:t>
      </w:r>
      <w:r w:rsidRPr="00153754">
        <w:rPr>
          <w:rFonts w:ascii="Calibri" w:hAnsi="Calibri" w:cs="Calibri"/>
          <w:b/>
          <w:bCs/>
          <w:color w:val="008296"/>
          <w:sz w:val="24"/>
          <w:szCs w:val="24"/>
        </w:rPr>
        <w:tab/>
      </w:r>
      <w:r w:rsidRPr="00153754">
        <w:rPr>
          <w:rFonts w:ascii="Calibri" w:hAnsi="Calibri" w:cs="Calibri"/>
          <w:b/>
          <w:bCs/>
          <w:color w:val="008296"/>
          <w:sz w:val="24"/>
          <w:szCs w:val="24"/>
        </w:rPr>
        <w:tab/>
      </w:r>
    </w:p>
    <w:p w14:paraId="78EAF3E7" w14:textId="740CF40C" w:rsidR="00E5219C" w:rsidRPr="00153754" w:rsidRDefault="00E5219C" w:rsidP="00E5219C">
      <w:pPr>
        <w:rPr>
          <w:rFonts w:ascii="Calibri" w:hAnsi="Calibri" w:cs="Calibri"/>
          <w:b/>
          <w:bCs/>
          <w:color w:val="008296"/>
          <w:sz w:val="24"/>
          <w:szCs w:val="24"/>
        </w:rPr>
      </w:pPr>
      <w:r w:rsidRPr="000747D2">
        <w:rPr>
          <w:rFonts w:ascii="Calibri" w:hAnsi="Calibri" w:cs="Calibri"/>
          <w:b/>
          <w:bCs/>
          <w:sz w:val="24"/>
          <w:szCs w:val="24"/>
        </w:rPr>
        <w:t xml:space="preserve">Location/based at: </w:t>
      </w:r>
      <w:r w:rsidR="0028786E">
        <w:rPr>
          <w:rFonts w:ascii="Calibri" w:hAnsi="Calibri" w:cs="Calibri"/>
          <w:b/>
          <w:bCs/>
          <w:sz w:val="24"/>
          <w:szCs w:val="24"/>
        </w:rPr>
        <w:tab/>
      </w:r>
      <w:r w:rsidR="00ED6C67">
        <w:rPr>
          <w:rStyle w:val="DocbodycopyChar"/>
        </w:rPr>
        <w:t>York, Stirley or Potteric</w:t>
      </w:r>
    </w:p>
    <w:p w14:paraId="3F612BA1" w14:textId="601E4868" w:rsidR="00E5219C" w:rsidRDefault="00E5219C" w:rsidP="00E5219C">
      <w:pPr>
        <w:rPr>
          <w:rFonts w:ascii="Calibri" w:hAnsi="Calibri" w:cs="Calibri"/>
          <w:b/>
          <w:bCs/>
          <w:sz w:val="24"/>
          <w:szCs w:val="24"/>
        </w:rPr>
      </w:pPr>
      <w:r w:rsidRPr="000747D2">
        <w:rPr>
          <w:rFonts w:ascii="Calibri" w:hAnsi="Calibri" w:cs="Calibri"/>
          <w:b/>
          <w:bCs/>
          <w:sz w:val="24"/>
          <w:szCs w:val="24"/>
        </w:rPr>
        <w:t>Date last updated:</w:t>
      </w:r>
      <w:r w:rsidR="00153754" w:rsidRPr="000747D2">
        <w:rPr>
          <w:rFonts w:ascii="Calibri" w:hAnsi="Calibri" w:cs="Calibri"/>
          <w:b/>
          <w:bCs/>
          <w:sz w:val="24"/>
          <w:szCs w:val="24"/>
        </w:rPr>
        <w:t xml:space="preserve"> </w:t>
      </w:r>
      <w:r w:rsidR="0028786E">
        <w:rPr>
          <w:rFonts w:ascii="Calibri" w:hAnsi="Calibri" w:cs="Calibri"/>
          <w:b/>
          <w:bCs/>
          <w:sz w:val="24"/>
          <w:szCs w:val="24"/>
        </w:rPr>
        <w:tab/>
      </w:r>
      <w:r w:rsidR="009F78CF">
        <w:rPr>
          <w:rStyle w:val="DocbodycopyChar"/>
        </w:rPr>
        <w:t>24</w:t>
      </w:r>
      <w:r w:rsidR="0028786E">
        <w:rPr>
          <w:rStyle w:val="DocbodycopyChar"/>
        </w:rPr>
        <w:t xml:space="preserve"> August </w:t>
      </w:r>
      <w:r w:rsidR="00F638E7">
        <w:rPr>
          <w:rStyle w:val="DocbodycopyChar"/>
        </w:rPr>
        <w:t>2026</w:t>
      </w:r>
    </w:p>
    <w:p w14:paraId="031F8254" w14:textId="77777777" w:rsidR="00153754" w:rsidRDefault="00153754" w:rsidP="00E5219C">
      <w:pPr>
        <w:rPr>
          <w:rFonts w:ascii="Calibri" w:hAnsi="Calibri" w:cs="Calibri"/>
          <w:b/>
          <w:bCs/>
          <w:sz w:val="24"/>
          <w:szCs w:val="24"/>
        </w:rPr>
      </w:pPr>
    </w:p>
    <w:p w14:paraId="1B1F9D50" w14:textId="07E65CFD" w:rsidR="00153754" w:rsidRPr="00153754" w:rsidRDefault="00153754" w:rsidP="001F7F4B">
      <w:pPr>
        <w:pStyle w:val="Docsub-title"/>
      </w:pPr>
      <w:r>
        <w:t>Main Purpose of the Role</w:t>
      </w:r>
    </w:p>
    <w:p w14:paraId="748B5FF0" w14:textId="77777777" w:rsidR="00F638E7" w:rsidRPr="0028786E" w:rsidRDefault="00F638E7" w:rsidP="00271CBB">
      <w:pPr>
        <w:pStyle w:val="Docbodycopy"/>
        <w:numPr>
          <w:ilvl w:val="0"/>
          <w:numId w:val="3"/>
        </w:numPr>
      </w:pPr>
      <w:r w:rsidRPr="0028786E">
        <w:t>Lead, develop and implement processes and tools relating to prospect research, such as pipeline management and prospect propensity evaluations.</w:t>
      </w:r>
    </w:p>
    <w:p w14:paraId="21EC7526" w14:textId="77777777" w:rsidR="00F638E7" w:rsidRPr="0028786E" w:rsidRDefault="00F638E7" w:rsidP="00271CBB">
      <w:pPr>
        <w:pStyle w:val="Docbodycopy"/>
        <w:numPr>
          <w:ilvl w:val="0"/>
          <w:numId w:val="3"/>
        </w:numPr>
      </w:pPr>
      <w:r w:rsidRPr="0028786E">
        <w:t>Lead on the creation of accurate and insightful, high-quality research on current and prospective donors from a wide variety of trusted sources to derive and share insights which will inform the fundraising and supporter engagement strategy.</w:t>
      </w:r>
    </w:p>
    <w:p w14:paraId="0756E922" w14:textId="56BC55CF" w:rsidR="00F638E7" w:rsidRPr="0028786E" w:rsidRDefault="00F638E7" w:rsidP="00271CBB">
      <w:pPr>
        <w:pStyle w:val="Docbodycopy"/>
        <w:numPr>
          <w:ilvl w:val="0"/>
          <w:numId w:val="3"/>
        </w:numPr>
      </w:pPr>
      <w:r w:rsidRPr="0028786E">
        <w:t xml:space="preserve">Lead on working with colleagues across the Trust to support delivery of </w:t>
      </w:r>
      <w:r w:rsidR="00830454">
        <w:t>the Trust</w:t>
      </w:r>
      <w:r w:rsidRPr="0028786E">
        <w:t>’s strategy through informing fundraising through strategic insight on sector trends.</w:t>
      </w:r>
    </w:p>
    <w:p w14:paraId="5AE94A04" w14:textId="77777777" w:rsidR="00F638E7" w:rsidRPr="0028786E" w:rsidRDefault="00F638E7" w:rsidP="001F7F4B">
      <w:pPr>
        <w:pStyle w:val="Docsub-title"/>
        <w:rPr>
          <w:rFonts w:ascii="Calibri" w:hAnsi="Calibri" w:cs="Calibri"/>
        </w:rPr>
      </w:pPr>
    </w:p>
    <w:p w14:paraId="067C92DA" w14:textId="7E9951EF" w:rsidR="00153754" w:rsidRDefault="00153754" w:rsidP="001F7F4B">
      <w:pPr>
        <w:pStyle w:val="Docsub-title"/>
      </w:pPr>
      <w:r>
        <w:t>Tasks and responsibilities</w:t>
      </w:r>
    </w:p>
    <w:p w14:paraId="0549CE2B" w14:textId="4F5B4986" w:rsidR="00F638E7" w:rsidRPr="0028786E" w:rsidRDefault="00F638E7" w:rsidP="00271CBB">
      <w:pPr>
        <w:pStyle w:val="Docbodycopy"/>
        <w:numPr>
          <w:ilvl w:val="0"/>
          <w:numId w:val="3"/>
        </w:numPr>
      </w:pPr>
      <w:r w:rsidRPr="0028786E">
        <w:t xml:space="preserve">Lead on the collaboration with the Head of Fundraising, Individual Giving Manager and </w:t>
      </w:r>
      <w:r w:rsidR="009F78CF">
        <w:t>s</w:t>
      </w:r>
      <w:r w:rsidRPr="0028786E">
        <w:t xml:space="preserve">enior </w:t>
      </w:r>
      <w:r w:rsidR="009F78CF">
        <w:t>s</w:t>
      </w:r>
      <w:r w:rsidRPr="0028786E">
        <w:t xml:space="preserve">takeholders within </w:t>
      </w:r>
      <w:r w:rsidR="00830454">
        <w:t>the Trust</w:t>
      </w:r>
      <w:r w:rsidRPr="0028786E">
        <w:t xml:space="preserve"> to deliver </w:t>
      </w:r>
      <w:r w:rsidR="00830454">
        <w:t xml:space="preserve">the </w:t>
      </w:r>
      <w:r w:rsidRPr="0028786E">
        <w:t xml:space="preserve">prospect research function, </w:t>
      </w:r>
      <w:r w:rsidR="00830454">
        <w:t>with</w:t>
      </w:r>
      <w:r w:rsidRPr="0028786E">
        <w:t xml:space="preserve"> a strong and sustainable prospect pipeline.</w:t>
      </w:r>
    </w:p>
    <w:p w14:paraId="7B770B21" w14:textId="77777777" w:rsidR="00F638E7" w:rsidRPr="0028786E" w:rsidRDefault="00F638E7" w:rsidP="00271CBB">
      <w:pPr>
        <w:pStyle w:val="Docbodycopy"/>
        <w:numPr>
          <w:ilvl w:val="0"/>
          <w:numId w:val="3"/>
        </w:numPr>
      </w:pPr>
      <w:r w:rsidRPr="0028786E">
        <w:t>Using a broad spectrum of sources, identify, research, organise and evaluate a prospect’s financial capacity, ability to give, willingness to give, charitable interests, and connection to the organisation and use this intelligence to inform the prioritisation of prospects and the development of our funding pipelines.</w:t>
      </w:r>
    </w:p>
    <w:p w14:paraId="20F2E415" w14:textId="77777777" w:rsidR="00F638E7" w:rsidRDefault="00F638E7" w:rsidP="00271CBB">
      <w:pPr>
        <w:pStyle w:val="Docbodycopy"/>
        <w:numPr>
          <w:ilvl w:val="0"/>
          <w:numId w:val="3"/>
        </w:numPr>
      </w:pPr>
      <w:r w:rsidRPr="0028786E">
        <w:t>Lead and coordinate meetings with internal stakeholders to discuss new prospects and the current High-Net-Worth-Individual portfolio and pipeline.</w:t>
      </w:r>
    </w:p>
    <w:p w14:paraId="55E5910D" w14:textId="77777777" w:rsidR="00271CBB" w:rsidRPr="0028786E" w:rsidRDefault="00271CBB" w:rsidP="00271CBB">
      <w:pPr>
        <w:pStyle w:val="Docbodycopy"/>
        <w:ind w:left="360"/>
      </w:pPr>
    </w:p>
    <w:p w14:paraId="2124AD1B" w14:textId="234696C3" w:rsidR="00F638E7" w:rsidRPr="0028786E" w:rsidRDefault="00F638E7" w:rsidP="00271CBB">
      <w:pPr>
        <w:pStyle w:val="Docbodycopy"/>
        <w:numPr>
          <w:ilvl w:val="0"/>
          <w:numId w:val="3"/>
        </w:numPr>
      </w:pPr>
      <w:r w:rsidRPr="0028786E">
        <w:lastRenderedPageBreak/>
        <w:t xml:space="preserve">Lead the prospecting strategy for the Trust through collaborating across the fundraising team and wider staff team to ensure a </w:t>
      </w:r>
      <w:r w:rsidR="003A5611" w:rsidRPr="0028786E">
        <w:t>joined-up</w:t>
      </w:r>
      <w:r w:rsidRPr="0028786E">
        <w:t xml:space="preserve"> approach is taken.</w:t>
      </w:r>
    </w:p>
    <w:p w14:paraId="1711B67C" w14:textId="77777777" w:rsidR="00F638E7" w:rsidRPr="0028786E" w:rsidRDefault="00F638E7" w:rsidP="00271CBB">
      <w:pPr>
        <w:pStyle w:val="Docbodycopy"/>
        <w:numPr>
          <w:ilvl w:val="0"/>
          <w:numId w:val="3"/>
        </w:numPr>
      </w:pPr>
      <w:r w:rsidRPr="0028786E">
        <w:t>Ensure prospecting is carried out in line with GDPR requirements and consents are up to date.</w:t>
      </w:r>
    </w:p>
    <w:p w14:paraId="1D926613" w14:textId="77777777" w:rsidR="00F638E7" w:rsidRPr="0028786E" w:rsidRDefault="00F638E7" w:rsidP="00271CBB">
      <w:pPr>
        <w:pStyle w:val="Docbodycopy"/>
        <w:numPr>
          <w:ilvl w:val="0"/>
          <w:numId w:val="3"/>
        </w:numPr>
      </w:pPr>
      <w:r w:rsidRPr="0028786E">
        <w:t>Keep up to date with research techniques and due diligence trends and best-practice processes within the sector, including identifying ways to improve risk research, due diligence and market insight, and implement new ways of working to continuously deliver a high quality and efficient prospect research methodology.</w:t>
      </w:r>
    </w:p>
    <w:p w14:paraId="1462B521" w14:textId="77777777" w:rsidR="00F638E7" w:rsidRPr="0028786E" w:rsidRDefault="00F638E7" w:rsidP="00271CBB">
      <w:pPr>
        <w:pStyle w:val="Docbodycopy"/>
        <w:numPr>
          <w:ilvl w:val="0"/>
          <w:numId w:val="3"/>
        </w:numPr>
      </w:pPr>
      <w:commentRangeStart w:id="0"/>
      <w:r w:rsidRPr="0028786E">
        <w:t>Produce in-depth, well-written reports on prospects based on a combination of data from the donor database, open access records and other markers of high-quality donors.</w:t>
      </w:r>
      <w:commentRangeEnd w:id="0"/>
      <w:r w:rsidRPr="0028786E">
        <w:rPr>
          <w:rStyle w:val="CommentReference"/>
          <w:sz w:val="24"/>
          <w:szCs w:val="24"/>
        </w:rPr>
        <w:commentReference w:id="0"/>
      </w:r>
    </w:p>
    <w:p w14:paraId="29CB7EBE" w14:textId="77777777" w:rsidR="00F638E7" w:rsidRPr="0028786E" w:rsidRDefault="00F638E7" w:rsidP="00271CBB">
      <w:pPr>
        <w:pStyle w:val="Docbodycopy"/>
        <w:numPr>
          <w:ilvl w:val="0"/>
          <w:numId w:val="3"/>
        </w:numPr>
      </w:pPr>
      <w:r w:rsidRPr="0028786E">
        <w:t>Carry out regular pipeline reviews to ensure that our prospect pipelines remain dynamic and fit for purpose.</w:t>
      </w:r>
    </w:p>
    <w:p w14:paraId="04AB4F05" w14:textId="77777777" w:rsidR="00F638E7" w:rsidRPr="0028786E" w:rsidRDefault="00F638E7" w:rsidP="001F7F4B">
      <w:pPr>
        <w:pStyle w:val="Docsub-title"/>
        <w:spacing w:line="240" w:lineRule="auto"/>
        <w:rPr>
          <w:rFonts w:ascii="Calibri" w:hAnsi="Calibri" w:cs="Calibri"/>
        </w:rPr>
      </w:pPr>
    </w:p>
    <w:p w14:paraId="02364747" w14:textId="4A67A17F" w:rsidR="00153754" w:rsidRPr="00153754" w:rsidRDefault="00153754" w:rsidP="001F7F4B">
      <w:pPr>
        <w:pStyle w:val="Docsub-title"/>
        <w:spacing w:line="240" w:lineRule="auto"/>
        <w:rPr>
          <w:sz w:val="32"/>
        </w:rPr>
      </w:pPr>
      <w:r>
        <w:t>Other</w:t>
      </w:r>
    </w:p>
    <w:p w14:paraId="314B0554" w14:textId="77777777" w:rsidR="00153754" w:rsidRPr="00176808" w:rsidRDefault="00153754" w:rsidP="001F7F4B">
      <w:pPr>
        <w:pStyle w:val="Docbodycopy"/>
        <w:numPr>
          <w:ilvl w:val="0"/>
          <w:numId w:val="3"/>
        </w:numPr>
      </w:pPr>
      <w:r w:rsidRPr="00176808">
        <w:t>Promote the Trust and partner organisations whenever possible.</w:t>
      </w:r>
    </w:p>
    <w:p w14:paraId="26183751" w14:textId="77777777" w:rsidR="00153754" w:rsidRPr="00176808" w:rsidRDefault="00153754" w:rsidP="001F7F4B">
      <w:pPr>
        <w:pStyle w:val="Docbodycopy"/>
        <w:numPr>
          <w:ilvl w:val="0"/>
          <w:numId w:val="3"/>
        </w:numPr>
      </w:pPr>
      <w:r w:rsidRPr="00176808">
        <w:t>Demonstrate our Trust values every day behaving with courage, respect, and integrity whilst trusting others and taking responsibility for your actions at all times.</w:t>
      </w:r>
    </w:p>
    <w:p w14:paraId="0A0EE310" w14:textId="77777777" w:rsidR="00153754" w:rsidRPr="00176808" w:rsidRDefault="00153754" w:rsidP="001F7F4B">
      <w:pPr>
        <w:pStyle w:val="Docbodycopy"/>
        <w:numPr>
          <w:ilvl w:val="0"/>
          <w:numId w:val="3"/>
        </w:numPr>
      </w:pPr>
      <w:r w:rsidRPr="00176808">
        <w:t>Support and promote the Trust’s commitment to equality, diversity and inclusion.</w:t>
      </w:r>
    </w:p>
    <w:p w14:paraId="78299EF9" w14:textId="77777777" w:rsidR="00153754" w:rsidRPr="00176808" w:rsidRDefault="00153754" w:rsidP="001F7F4B">
      <w:pPr>
        <w:pStyle w:val="Docbodycopy"/>
        <w:numPr>
          <w:ilvl w:val="0"/>
          <w:numId w:val="3"/>
        </w:numPr>
      </w:pPr>
      <w:r w:rsidRPr="00176808">
        <w:t>The Trust is committed to safeguarding and promoting the welfare of children, young people, and adults at risk and expects all staff and volunteers to share this commitment.</w:t>
      </w:r>
    </w:p>
    <w:p w14:paraId="6FC49F34" w14:textId="77777777" w:rsidR="00153754" w:rsidRPr="00176808" w:rsidRDefault="00153754" w:rsidP="001F7F4B">
      <w:pPr>
        <w:pStyle w:val="Docbodycopy"/>
        <w:numPr>
          <w:ilvl w:val="0"/>
          <w:numId w:val="3"/>
        </w:numPr>
      </w:pPr>
      <w:r w:rsidRPr="00176808">
        <w:t>Abide by all Trust policies.</w:t>
      </w:r>
    </w:p>
    <w:p w14:paraId="651C8BB1" w14:textId="77777777" w:rsidR="00153754" w:rsidRPr="00176808" w:rsidRDefault="00153754" w:rsidP="001F7F4B">
      <w:pPr>
        <w:pStyle w:val="Docbodycopy"/>
        <w:numPr>
          <w:ilvl w:val="0"/>
          <w:numId w:val="3"/>
        </w:numPr>
      </w:pPr>
      <w:r w:rsidRPr="00176808">
        <w:t>Undertake any other duties as requested by your line manager and in line with the post.</w:t>
      </w:r>
    </w:p>
    <w:p w14:paraId="056BD022" w14:textId="77777777" w:rsidR="00913822" w:rsidRDefault="00913822" w:rsidP="000747D2">
      <w:pPr>
        <w:pStyle w:val="Docsubtitle16pt"/>
        <w:rPr>
          <w:rFonts w:ascii="Adelle Rg" w:hAnsi="Adelle Rg"/>
        </w:rPr>
      </w:pPr>
    </w:p>
    <w:p w14:paraId="2A299A10" w14:textId="77777777" w:rsidR="00D87412" w:rsidRDefault="00D87412">
      <w:pPr>
        <w:rPr>
          <w:rFonts w:ascii="Adelle Rg" w:hAnsi="Adelle Rg"/>
          <w:b/>
          <w:bCs/>
          <w:color w:val="008296"/>
          <w:sz w:val="36"/>
          <w:szCs w:val="40"/>
        </w:rPr>
      </w:pPr>
      <w:r>
        <w:rPr>
          <w:rFonts w:ascii="Adelle Rg" w:hAnsi="Adelle Rg"/>
        </w:rPr>
        <w:br w:type="page"/>
      </w:r>
    </w:p>
    <w:p w14:paraId="09DB20F1" w14:textId="57625EAA" w:rsidR="000747D2" w:rsidRPr="000C7FA6" w:rsidRDefault="000747D2" w:rsidP="000747D2">
      <w:pPr>
        <w:pStyle w:val="Docsubtitle16pt"/>
        <w:rPr>
          <w:rFonts w:ascii="Adelle Rg" w:hAnsi="Adelle Rg"/>
        </w:rPr>
      </w:pPr>
      <w:r w:rsidRPr="000C7FA6">
        <w:rPr>
          <w:rFonts w:ascii="Adelle Rg" w:hAnsi="Adelle Rg"/>
        </w:rPr>
        <w:lastRenderedPageBreak/>
        <w:t>Person Specification</w:t>
      </w:r>
      <w:r w:rsidR="009F78CF">
        <w:rPr>
          <w:rFonts w:ascii="Adelle Rg" w:hAnsi="Adelle Rg"/>
        </w:rPr>
        <w:t xml:space="preserve"> – Fundraising Research Officer</w:t>
      </w:r>
    </w:p>
    <w:tbl>
      <w:tblPr>
        <w:tblW w:w="9781" w:type="dxa"/>
        <w:tblInd w:w="-5" w:type="dxa"/>
        <w:tblLayout w:type="fixed"/>
        <w:tblLook w:val="04A0" w:firstRow="1" w:lastRow="0" w:firstColumn="1" w:lastColumn="0" w:noHBand="0" w:noVBand="1"/>
      </w:tblPr>
      <w:tblGrid>
        <w:gridCol w:w="7513"/>
        <w:gridCol w:w="2268"/>
      </w:tblGrid>
      <w:tr w:rsidR="00F638E7" w:rsidRPr="000C0A85" w14:paraId="78CED020" w14:textId="77777777" w:rsidTr="00F638E7">
        <w:tc>
          <w:tcPr>
            <w:tcW w:w="7513" w:type="dxa"/>
            <w:tcBorders>
              <w:top w:val="single" w:sz="4" w:space="0" w:color="auto"/>
              <w:left w:val="single" w:sz="4" w:space="0" w:color="auto"/>
              <w:bottom w:val="single" w:sz="4" w:space="0" w:color="auto"/>
              <w:right w:val="single" w:sz="4" w:space="0" w:color="auto"/>
            </w:tcBorders>
          </w:tcPr>
          <w:p w14:paraId="39D4F02B" w14:textId="77777777" w:rsidR="00F638E7" w:rsidRPr="009F78CF" w:rsidRDefault="00F638E7" w:rsidP="00963A72">
            <w:pPr>
              <w:rPr>
                <w:rFonts w:ascii="Calibri" w:hAnsi="Calibri" w:cs="Calibri"/>
                <w:b/>
                <w:bCs/>
                <w:sz w:val="24"/>
                <w:szCs w:val="24"/>
              </w:rPr>
            </w:pPr>
            <w:r w:rsidRPr="009F78CF">
              <w:rPr>
                <w:rFonts w:ascii="Calibri" w:hAnsi="Calibri" w:cs="Calibri"/>
                <w:b/>
                <w:bCs/>
                <w:sz w:val="24"/>
                <w:szCs w:val="24"/>
              </w:rPr>
              <w:t>Experience</w:t>
            </w:r>
          </w:p>
        </w:tc>
        <w:tc>
          <w:tcPr>
            <w:tcW w:w="2268" w:type="dxa"/>
            <w:tcBorders>
              <w:top w:val="single" w:sz="4" w:space="0" w:color="auto"/>
              <w:left w:val="single" w:sz="4" w:space="0" w:color="auto"/>
              <w:bottom w:val="single" w:sz="4" w:space="0" w:color="auto"/>
              <w:right w:val="single" w:sz="4" w:space="0" w:color="auto"/>
            </w:tcBorders>
          </w:tcPr>
          <w:p w14:paraId="390E6894" w14:textId="77777777" w:rsidR="00F638E7" w:rsidRPr="009F78CF" w:rsidRDefault="00F638E7" w:rsidP="00963A72">
            <w:pPr>
              <w:rPr>
                <w:rFonts w:ascii="Calibri" w:hAnsi="Calibri" w:cs="Calibri"/>
                <w:b/>
                <w:bCs/>
                <w:sz w:val="24"/>
                <w:szCs w:val="24"/>
              </w:rPr>
            </w:pPr>
            <w:r w:rsidRPr="009F78CF">
              <w:rPr>
                <w:rFonts w:ascii="Calibri" w:hAnsi="Calibri" w:cs="Calibri"/>
                <w:b/>
                <w:bCs/>
                <w:sz w:val="24"/>
                <w:szCs w:val="24"/>
              </w:rPr>
              <w:t>Essential/Desirable</w:t>
            </w:r>
          </w:p>
        </w:tc>
      </w:tr>
      <w:tr w:rsidR="00F638E7" w:rsidRPr="003E12C1" w14:paraId="3C4272EB" w14:textId="77777777" w:rsidTr="00F638E7">
        <w:tc>
          <w:tcPr>
            <w:tcW w:w="7513" w:type="dxa"/>
            <w:tcBorders>
              <w:top w:val="single" w:sz="4" w:space="0" w:color="auto"/>
              <w:left w:val="single" w:sz="4" w:space="0" w:color="auto"/>
              <w:bottom w:val="single" w:sz="4" w:space="0" w:color="auto"/>
              <w:right w:val="single" w:sz="4" w:space="0" w:color="auto"/>
            </w:tcBorders>
          </w:tcPr>
          <w:p w14:paraId="31135E14" w14:textId="77777777" w:rsidR="00F638E7" w:rsidRPr="009F78CF" w:rsidRDefault="00F638E7" w:rsidP="00963A72">
            <w:pPr>
              <w:pStyle w:val="pf0"/>
              <w:spacing w:before="0" w:beforeAutospacing="0"/>
              <w:rPr>
                <w:rFonts w:ascii="Calibri" w:hAnsi="Calibri" w:cs="Calibri"/>
              </w:rPr>
            </w:pPr>
            <w:r w:rsidRPr="009F78CF">
              <w:rPr>
                <w:rFonts w:ascii="Calibri" w:hAnsi="Calibri" w:cs="Calibri"/>
              </w:rPr>
              <w:t>Experience of providing strategically aligned research to help identify and prioritise prospects capable of offering significant financial and/or other support.</w:t>
            </w:r>
          </w:p>
        </w:tc>
        <w:tc>
          <w:tcPr>
            <w:tcW w:w="2268" w:type="dxa"/>
            <w:tcBorders>
              <w:top w:val="single" w:sz="4" w:space="0" w:color="auto"/>
              <w:left w:val="single" w:sz="4" w:space="0" w:color="auto"/>
              <w:bottom w:val="single" w:sz="4" w:space="0" w:color="auto"/>
              <w:right w:val="single" w:sz="4" w:space="0" w:color="auto"/>
            </w:tcBorders>
          </w:tcPr>
          <w:p w14:paraId="4F0CE1E2"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3E12C1" w14:paraId="446C56D5" w14:textId="77777777" w:rsidTr="00F638E7">
        <w:tc>
          <w:tcPr>
            <w:tcW w:w="7513" w:type="dxa"/>
            <w:tcBorders>
              <w:top w:val="single" w:sz="4" w:space="0" w:color="auto"/>
              <w:left w:val="single" w:sz="4" w:space="0" w:color="auto"/>
              <w:bottom w:val="single" w:sz="4" w:space="0" w:color="auto"/>
              <w:right w:val="single" w:sz="4" w:space="0" w:color="auto"/>
            </w:tcBorders>
          </w:tcPr>
          <w:p w14:paraId="5C3F76B7"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Experience of profiling, network mapping, prospect qualification and other intelligence gathering activities.</w:t>
            </w:r>
          </w:p>
        </w:tc>
        <w:tc>
          <w:tcPr>
            <w:tcW w:w="2268" w:type="dxa"/>
            <w:tcBorders>
              <w:top w:val="single" w:sz="4" w:space="0" w:color="auto"/>
              <w:left w:val="single" w:sz="4" w:space="0" w:color="auto"/>
              <w:bottom w:val="single" w:sz="4" w:space="0" w:color="auto"/>
              <w:right w:val="single" w:sz="4" w:space="0" w:color="auto"/>
            </w:tcBorders>
          </w:tcPr>
          <w:p w14:paraId="09BA200D"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3E12C1" w14:paraId="5F58FF9C" w14:textId="77777777" w:rsidTr="00F638E7">
        <w:tc>
          <w:tcPr>
            <w:tcW w:w="7513" w:type="dxa"/>
            <w:tcBorders>
              <w:top w:val="single" w:sz="4" w:space="0" w:color="auto"/>
              <w:left w:val="single" w:sz="4" w:space="0" w:color="auto"/>
              <w:bottom w:val="single" w:sz="4" w:space="0" w:color="auto"/>
              <w:right w:val="single" w:sz="4" w:space="0" w:color="auto"/>
            </w:tcBorders>
          </w:tcPr>
          <w:p w14:paraId="0B4C077E"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Experience of working with colleagues in Individual Giving as well as with major donor and corporate fundraisers to optimise use of a CRM database to identify potential prospects.</w:t>
            </w:r>
          </w:p>
        </w:tc>
        <w:tc>
          <w:tcPr>
            <w:tcW w:w="2268" w:type="dxa"/>
            <w:tcBorders>
              <w:top w:val="single" w:sz="4" w:space="0" w:color="auto"/>
              <w:left w:val="single" w:sz="4" w:space="0" w:color="auto"/>
              <w:bottom w:val="single" w:sz="4" w:space="0" w:color="auto"/>
              <w:right w:val="single" w:sz="4" w:space="0" w:color="auto"/>
            </w:tcBorders>
          </w:tcPr>
          <w:p w14:paraId="7EC825A4"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3E12C1" w14:paraId="0879C973" w14:textId="77777777" w:rsidTr="00F638E7">
        <w:tc>
          <w:tcPr>
            <w:tcW w:w="7513" w:type="dxa"/>
            <w:tcBorders>
              <w:top w:val="single" w:sz="4" w:space="0" w:color="auto"/>
              <w:left w:val="single" w:sz="4" w:space="0" w:color="auto"/>
              <w:bottom w:val="single" w:sz="4" w:space="0" w:color="auto"/>
              <w:right w:val="single" w:sz="4" w:space="0" w:color="auto"/>
            </w:tcBorders>
          </w:tcPr>
          <w:p w14:paraId="7452E766"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Experience of carrying out due diligence assessments.</w:t>
            </w:r>
          </w:p>
        </w:tc>
        <w:tc>
          <w:tcPr>
            <w:tcW w:w="2268" w:type="dxa"/>
            <w:tcBorders>
              <w:top w:val="single" w:sz="4" w:space="0" w:color="auto"/>
              <w:left w:val="single" w:sz="4" w:space="0" w:color="auto"/>
              <w:bottom w:val="single" w:sz="4" w:space="0" w:color="auto"/>
              <w:right w:val="single" w:sz="4" w:space="0" w:color="auto"/>
            </w:tcBorders>
          </w:tcPr>
          <w:p w14:paraId="2B842B31"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3E12C1" w14:paraId="161C5B57" w14:textId="77777777" w:rsidTr="00F638E7">
        <w:tc>
          <w:tcPr>
            <w:tcW w:w="7513" w:type="dxa"/>
            <w:tcBorders>
              <w:top w:val="single" w:sz="4" w:space="0" w:color="auto"/>
              <w:left w:val="single" w:sz="4" w:space="0" w:color="auto"/>
              <w:bottom w:val="single" w:sz="4" w:space="0" w:color="auto"/>
              <w:right w:val="single" w:sz="4" w:space="0" w:color="auto"/>
            </w:tcBorders>
          </w:tcPr>
          <w:p w14:paraId="433201AA"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Strong understanding of GDPR and working within GDPR policies.</w:t>
            </w:r>
          </w:p>
        </w:tc>
        <w:tc>
          <w:tcPr>
            <w:tcW w:w="2268" w:type="dxa"/>
            <w:tcBorders>
              <w:top w:val="single" w:sz="4" w:space="0" w:color="auto"/>
              <w:left w:val="single" w:sz="4" w:space="0" w:color="auto"/>
              <w:bottom w:val="single" w:sz="4" w:space="0" w:color="auto"/>
              <w:right w:val="single" w:sz="4" w:space="0" w:color="auto"/>
            </w:tcBorders>
          </w:tcPr>
          <w:p w14:paraId="7076BC22"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9F78CF" w:rsidRPr="003E12C1" w14:paraId="3F768C18" w14:textId="77777777" w:rsidTr="009F78CF">
        <w:tc>
          <w:tcPr>
            <w:tcW w:w="7513" w:type="dxa"/>
            <w:tcBorders>
              <w:top w:val="single" w:sz="4" w:space="0" w:color="auto"/>
              <w:left w:val="single" w:sz="4" w:space="0" w:color="auto"/>
              <w:bottom w:val="single" w:sz="4" w:space="0" w:color="auto"/>
              <w:right w:val="single" w:sz="4" w:space="0" w:color="auto"/>
            </w:tcBorders>
          </w:tcPr>
          <w:p w14:paraId="2E96A32D" w14:textId="77777777" w:rsidR="009F78CF" w:rsidRPr="009F78CF" w:rsidRDefault="009F78CF" w:rsidP="00730A62">
            <w:pPr>
              <w:rPr>
                <w:rFonts w:ascii="Calibri" w:hAnsi="Calibri" w:cs="Calibri"/>
                <w:sz w:val="24"/>
                <w:szCs w:val="24"/>
              </w:rPr>
            </w:pPr>
            <w:r w:rsidRPr="009F78CF">
              <w:rPr>
                <w:rFonts w:ascii="Calibri" w:hAnsi="Calibri" w:cs="Calibri"/>
                <w:sz w:val="24"/>
                <w:szCs w:val="24"/>
              </w:rPr>
              <w:t>Experience in wealth screening, capacity assessment and affinity analysis to provide propensity scoring.</w:t>
            </w:r>
          </w:p>
        </w:tc>
        <w:tc>
          <w:tcPr>
            <w:tcW w:w="2268" w:type="dxa"/>
            <w:tcBorders>
              <w:top w:val="single" w:sz="4" w:space="0" w:color="auto"/>
              <w:left w:val="single" w:sz="4" w:space="0" w:color="auto"/>
              <w:bottom w:val="single" w:sz="4" w:space="0" w:color="auto"/>
              <w:right w:val="single" w:sz="4" w:space="0" w:color="auto"/>
            </w:tcBorders>
          </w:tcPr>
          <w:p w14:paraId="63FEC272" w14:textId="77777777" w:rsidR="009F78CF" w:rsidRPr="009F78CF" w:rsidRDefault="009F78CF" w:rsidP="00730A62">
            <w:pPr>
              <w:rPr>
                <w:rFonts w:ascii="Calibri" w:hAnsi="Calibri" w:cs="Calibri"/>
                <w:sz w:val="24"/>
                <w:szCs w:val="24"/>
              </w:rPr>
            </w:pPr>
            <w:r w:rsidRPr="009F78CF">
              <w:rPr>
                <w:rFonts w:ascii="Calibri" w:hAnsi="Calibri" w:cs="Calibri"/>
                <w:sz w:val="24"/>
                <w:szCs w:val="24"/>
              </w:rPr>
              <w:t>Essential</w:t>
            </w:r>
          </w:p>
        </w:tc>
      </w:tr>
      <w:tr w:rsidR="00F638E7" w:rsidRPr="003E12C1" w14:paraId="66A9996E" w14:textId="77777777" w:rsidTr="00F638E7">
        <w:tc>
          <w:tcPr>
            <w:tcW w:w="7513" w:type="dxa"/>
            <w:tcBorders>
              <w:top w:val="single" w:sz="4" w:space="0" w:color="auto"/>
              <w:left w:val="single" w:sz="4" w:space="0" w:color="auto"/>
              <w:bottom w:val="single" w:sz="4" w:space="0" w:color="auto"/>
              <w:right w:val="single" w:sz="4" w:space="0" w:color="auto"/>
            </w:tcBorders>
          </w:tcPr>
          <w:p w14:paraId="58E8DD2A"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Experience of working with senior stakeholders (including the CEO and Board of Trustees) to identify key prospects within their networks and offer recommendations on next steps.</w:t>
            </w:r>
          </w:p>
        </w:tc>
        <w:tc>
          <w:tcPr>
            <w:tcW w:w="2268" w:type="dxa"/>
            <w:tcBorders>
              <w:top w:val="single" w:sz="4" w:space="0" w:color="auto"/>
              <w:left w:val="single" w:sz="4" w:space="0" w:color="auto"/>
              <w:bottom w:val="single" w:sz="4" w:space="0" w:color="auto"/>
              <w:right w:val="single" w:sz="4" w:space="0" w:color="auto"/>
            </w:tcBorders>
          </w:tcPr>
          <w:p w14:paraId="787975D0"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Desirable</w:t>
            </w:r>
          </w:p>
        </w:tc>
      </w:tr>
      <w:tr w:rsidR="00F638E7" w:rsidRPr="000C0A85" w14:paraId="25D0E386" w14:textId="77777777" w:rsidTr="00F638E7">
        <w:tc>
          <w:tcPr>
            <w:tcW w:w="7513" w:type="dxa"/>
            <w:tcBorders>
              <w:top w:val="single" w:sz="4" w:space="0" w:color="auto"/>
              <w:left w:val="single" w:sz="4" w:space="0" w:color="auto"/>
              <w:bottom w:val="single" w:sz="4" w:space="0" w:color="auto"/>
              <w:right w:val="single" w:sz="4" w:space="0" w:color="auto"/>
            </w:tcBorders>
          </w:tcPr>
          <w:p w14:paraId="3D744F7A" w14:textId="77777777" w:rsidR="00F638E7" w:rsidRPr="009F78CF" w:rsidRDefault="00F638E7" w:rsidP="00963A72">
            <w:pPr>
              <w:rPr>
                <w:rFonts w:ascii="Calibri" w:hAnsi="Calibri" w:cs="Calibri"/>
                <w:b/>
                <w:bCs/>
                <w:sz w:val="24"/>
                <w:szCs w:val="24"/>
              </w:rPr>
            </w:pPr>
            <w:r w:rsidRPr="009F78CF">
              <w:rPr>
                <w:rFonts w:ascii="Calibri" w:hAnsi="Calibri" w:cs="Calibri"/>
                <w:b/>
                <w:bCs/>
                <w:sz w:val="24"/>
                <w:szCs w:val="24"/>
              </w:rPr>
              <w:t>Knowledge and Skills</w:t>
            </w:r>
          </w:p>
        </w:tc>
        <w:tc>
          <w:tcPr>
            <w:tcW w:w="2268" w:type="dxa"/>
            <w:tcBorders>
              <w:top w:val="single" w:sz="4" w:space="0" w:color="auto"/>
              <w:left w:val="single" w:sz="4" w:space="0" w:color="auto"/>
              <w:bottom w:val="single" w:sz="4" w:space="0" w:color="auto"/>
              <w:right w:val="single" w:sz="4" w:space="0" w:color="auto"/>
            </w:tcBorders>
          </w:tcPr>
          <w:p w14:paraId="3219E0C6" w14:textId="77777777" w:rsidR="00F638E7" w:rsidRPr="009F78CF" w:rsidRDefault="00F638E7" w:rsidP="00963A72">
            <w:pPr>
              <w:rPr>
                <w:rFonts w:ascii="Calibri" w:hAnsi="Calibri" w:cs="Calibri"/>
                <w:b/>
                <w:bCs/>
                <w:sz w:val="24"/>
                <w:szCs w:val="24"/>
              </w:rPr>
            </w:pPr>
            <w:r w:rsidRPr="009F78CF">
              <w:rPr>
                <w:rFonts w:ascii="Calibri" w:hAnsi="Calibri" w:cs="Calibri"/>
                <w:b/>
                <w:bCs/>
                <w:sz w:val="24"/>
                <w:szCs w:val="24"/>
              </w:rPr>
              <w:t>Essential/Desirable</w:t>
            </w:r>
          </w:p>
        </w:tc>
      </w:tr>
      <w:tr w:rsidR="00F638E7" w:rsidRPr="000C0A85" w14:paraId="06D40F51" w14:textId="77777777" w:rsidTr="00F638E7">
        <w:tc>
          <w:tcPr>
            <w:tcW w:w="7513" w:type="dxa"/>
            <w:tcBorders>
              <w:top w:val="single" w:sz="4" w:space="0" w:color="auto"/>
              <w:left w:val="single" w:sz="4" w:space="0" w:color="auto"/>
              <w:bottom w:val="single" w:sz="4" w:space="0" w:color="auto"/>
              <w:right w:val="single" w:sz="4" w:space="0" w:color="auto"/>
            </w:tcBorders>
          </w:tcPr>
          <w:p w14:paraId="5898EA75" w14:textId="77777777" w:rsidR="00F638E7" w:rsidRPr="009F78CF" w:rsidRDefault="00F638E7" w:rsidP="00963A72">
            <w:pPr>
              <w:pStyle w:val="pf0"/>
              <w:spacing w:before="0" w:beforeAutospacing="0"/>
              <w:rPr>
                <w:rFonts w:ascii="Calibri" w:hAnsi="Calibri" w:cs="Calibri"/>
              </w:rPr>
            </w:pPr>
            <w:r w:rsidRPr="009F78CF">
              <w:rPr>
                <w:rFonts w:ascii="Calibri" w:hAnsi="Calibri" w:cs="Calibri"/>
              </w:rPr>
              <w:t>Ability to investigate, analyse, and synthesize large quantities of data into a user-friendly and concise format for the use by fundraisers and key volunteers (e.g. Trustees)</w:t>
            </w:r>
          </w:p>
        </w:tc>
        <w:tc>
          <w:tcPr>
            <w:tcW w:w="2268" w:type="dxa"/>
            <w:tcBorders>
              <w:top w:val="single" w:sz="4" w:space="0" w:color="auto"/>
              <w:left w:val="single" w:sz="4" w:space="0" w:color="auto"/>
              <w:bottom w:val="single" w:sz="4" w:space="0" w:color="auto"/>
              <w:right w:val="single" w:sz="4" w:space="0" w:color="auto"/>
            </w:tcBorders>
          </w:tcPr>
          <w:p w14:paraId="7D678130"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0C0A85" w14:paraId="029C76A2" w14:textId="77777777" w:rsidTr="00F638E7">
        <w:tc>
          <w:tcPr>
            <w:tcW w:w="7513" w:type="dxa"/>
            <w:tcBorders>
              <w:top w:val="single" w:sz="4" w:space="0" w:color="auto"/>
              <w:left w:val="single" w:sz="4" w:space="0" w:color="auto"/>
              <w:bottom w:val="single" w:sz="4" w:space="0" w:color="auto"/>
              <w:right w:val="single" w:sz="4" w:space="0" w:color="auto"/>
            </w:tcBorders>
          </w:tcPr>
          <w:p w14:paraId="105C5A17" w14:textId="77777777" w:rsidR="00F638E7" w:rsidRPr="009F78CF" w:rsidRDefault="00F638E7" w:rsidP="00963A72">
            <w:pPr>
              <w:pStyle w:val="pf0"/>
              <w:spacing w:before="0" w:beforeAutospacing="0"/>
              <w:rPr>
                <w:rFonts w:ascii="Calibri" w:hAnsi="Calibri" w:cs="Calibri"/>
              </w:rPr>
            </w:pPr>
            <w:r w:rsidRPr="009F78CF">
              <w:rPr>
                <w:rFonts w:ascii="Calibri" w:hAnsi="Calibri" w:cs="Calibri"/>
              </w:rPr>
              <w:t>Ability to act proactively to identify new prospects.</w:t>
            </w:r>
          </w:p>
        </w:tc>
        <w:tc>
          <w:tcPr>
            <w:tcW w:w="2268" w:type="dxa"/>
            <w:tcBorders>
              <w:top w:val="single" w:sz="4" w:space="0" w:color="auto"/>
              <w:left w:val="single" w:sz="4" w:space="0" w:color="auto"/>
              <w:bottom w:val="single" w:sz="4" w:space="0" w:color="auto"/>
              <w:right w:val="single" w:sz="4" w:space="0" w:color="auto"/>
            </w:tcBorders>
          </w:tcPr>
          <w:p w14:paraId="41F8D8A8"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0C0A85" w14:paraId="415C8EA8" w14:textId="77777777" w:rsidTr="00F638E7">
        <w:tc>
          <w:tcPr>
            <w:tcW w:w="7513" w:type="dxa"/>
            <w:tcBorders>
              <w:top w:val="single" w:sz="4" w:space="0" w:color="auto"/>
              <w:left w:val="single" w:sz="4" w:space="0" w:color="auto"/>
              <w:bottom w:val="single" w:sz="4" w:space="0" w:color="auto"/>
              <w:right w:val="single" w:sz="4" w:space="0" w:color="auto"/>
            </w:tcBorders>
          </w:tcPr>
          <w:p w14:paraId="477FD0E9" w14:textId="77777777" w:rsidR="00F638E7" w:rsidRPr="009F78CF" w:rsidRDefault="00F638E7" w:rsidP="00963A72">
            <w:pPr>
              <w:pStyle w:val="pf0"/>
              <w:spacing w:before="0" w:beforeAutospacing="0"/>
              <w:rPr>
                <w:rFonts w:ascii="Calibri" w:hAnsi="Calibri" w:cs="Calibri"/>
              </w:rPr>
            </w:pPr>
            <w:r w:rsidRPr="009F78CF">
              <w:rPr>
                <w:rFonts w:ascii="Calibri" w:hAnsi="Calibri" w:cs="Calibri"/>
              </w:rPr>
              <w:t>Knowledge of due diligence platforms and how to carry out due diligence effectively.</w:t>
            </w:r>
          </w:p>
        </w:tc>
        <w:tc>
          <w:tcPr>
            <w:tcW w:w="2268" w:type="dxa"/>
            <w:tcBorders>
              <w:top w:val="single" w:sz="4" w:space="0" w:color="auto"/>
              <w:left w:val="single" w:sz="4" w:space="0" w:color="auto"/>
              <w:bottom w:val="single" w:sz="4" w:space="0" w:color="auto"/>
              <w:right w:val="single" w:sz="4" w:space="0" w:color="auto"/>
            </w:tcBorders>
          </w:tcPr>
          <w:p w14:paraId="0D7E4CFF"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0C0A85" w14:paraId="43A53948" w14:textId="77777777" w:rsidTr="00F638E7">
        <w:tc>
          <w:tcPr>
            <w:tcW w:w="7513" w:type="dxa"/>
            <w:tcBorders>
              <w:top w:val="single" w:sz="4" w:space="0" w:color="auto"/>
              <w:left w:val="single" w:sz="4" w:space="0" w:color="auto"/>
              <w:bottom w:val="single" w:sz="4" w:space="0" w:color="auto"/>
              <w:right w:val="single" w:sz="4" w:space="0" w:color="auto"/>
            </w:tcBorders>
          </w:tcPr>
          <w:p w14:paraId="16D98977" w14:textId="77777777" w:rsidR="00F638E7" w:rsidRPr="009F78CF" w:rsidRDefault="00F638E7" w:rsidP="00963A72">
            <w:pPr>
              <w:pStyle w:val="pf0"/>
              <w:spacing w:before="0" w:beforeAutospacing="0"/>
              <w:rPr>
                <w:rFonts w:ascii="Calibri" w:hAnsi="Calibri" w:cs="Calibri"/>
              </w:rPr>
            </w:pPr>
            <w:r w:rsidRPr="009F78CF">
              <w:rPr>
                <w:rFonts w:ascii="Calibri" w:hAnsi="Calibri" w:cs="Calibri"/>
              </w:rPr>
              <w:t>Ability to juggle and prioritise multiple tasks and meet deadlines.</w:t>
            </w:r>
          </w:p>
        </w:tc>
        <w:tc>
          <w:tcPr>
            <w:tcW w:w="2268" w:type="dxa"/>
            <w:tcBorders>
              <w:top w:val="single" w:sz="4" w:space="0" w:color="auto"/>
              <w:left w:val="single" w:sz="4" w:space="0" w:color="auto"/>
              <w:bottom w:val="single" w:sz="4" w:space="0" w:color="auto"/>
              <w:right w:val="single" w:sz="4" w:space="0" w:color="auto"/>
            </w:tcBorders>
          </w:tcPr>
          <w:p w14:paraId="327B6A2E"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0C0A85" w14:paraId="532242AF" w14:textId="77777777" w:rsidTr="00F638E7">
        <w:tc>
          <w:tcPr>
            <w:tcW w:w="7513" w:type="dxa"/>
            <w:tcBorders>
              <w:top w:val="single" w:sz="4" w:space="0" w:color="auto"/>
              <w:left w:val="single" w:sz="4" w:space="0" w:color="auto"/>
              <w:bottom w:val="single" w:sz="4" w:space="0" w:color="auto"/>
              <w:right w:val="single" w:sz="4" w:space="0" w:color="auto"/>
            </w:tcBorders>
          </w:tcPr>
          <w:p w14:paraId="34935F71" w14:textId="3BF9B06C" w:rsidR="00F638E7" w:rsidRPr="009F78CF" w:rsidRDefault="00F638E7" w:rsidP="00963A72">
            <w:pPr>
              <w:rPr>
                <w:rFonts w:ascii="Calibri" w:hAnsi="Calibri" w:cs="Calibri"/>
                <w:sz w:val="24"/>
                <w:szCs w:val="24"/>
              </w:rPr>
            </w:pPr>
            <w:bookmarkStart w:id="1" w:name="_Hlk100563528"/>
            <w:r w:rsidRPr="009F78CF">
              <w:rPr>
                <w:rFonts w:ascii="Calibri" w:hAnsi="Calibri" w:cs="Calibri"/>
                <w:sz w:val="24"/>
                <w:szCs w:val="24"/>
              </w:rPr>
              <w:t xml:space="preserve">Demonstrable written </w:t>
            </w:r>
            <w:r w:rsidR="009F78CF">
              <w:rPr>
                <w:rFonts w:ascii="Calibri" w:hAnsi="Calibri" w:cs="Calibri"/>
                <w:sz w:val="24"/>
                <w:szCs w:val="24"/>
              </w:rPr>
              <w:t xml:space="preserve">and verbal </w:t>
            </w:r>
            <w:r w:rsidRPr="009F78CF">
              <w:rPr>
                <w:rFonts w:ascii="Calibri" w:hAnsi="Calibri" w:cs="Calibri"/>
                <w:sz w:val="24"/>
                <w:szCs w:val="24"/>
              </w:rPr>
              <w:t>communication skills.</w:t>
            </w:r>
          </w:p>
        </w:tc>
        <w:tc>
          <w:tcPr>
            <w:tcW w:w="2268" w:type="dxa"/>
            <w:tcBorders>
              <w:top w:val="single" w:sz="4" w:space="0" w:color="auto"/>
              <w:left w:val="single" w:sz="4" w:space="0" w:color="auto"/>
              <w:bottom w:val="single" w:sz="4" w:space="0" w:color="auto"/>
              <w:right w:val="single" w:sz="4" w:space="0" w:color="auto"/>
            </w:tcBorders>
          </w:tcPr>
          <w:p w14:paraId="14C13531"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bookmarkEnd w:id="1"/>
      <w:tr w:rsidR="00F638E7" w:rsidRPr="000C0A85" w14:paraId="4DCD1708" w14:textId="77777777" w:rsidTr="00F638E7">
        <w:tc>
          <w:tcPr>
            <w:tcW w:w="7513" w:type="dxa"/>
            <w:tcBorders>
              <w:top w:val="single" w:sz="4" w:space="0" w:color="auto"/>
              <w:left w:val="single" w:sz="4" w:space="0" w:color="auto"/>
              <w:bottom w:val="single" w:sz="4" w:space="0" w:color="auto"/>
              <w:right w:val="single" w:sz="4" w:space="0" w:color="auto"/>
            </w:tcBorders>
          </w:tcPr>
          <w:p w14:paraId="64652204"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Ability to take a tactful and ethical approach to fundraising tasks/projects.</w:t>
            </w:r>
          </w:p>
        </w:tc>
        <w:tc>
          <w:tcPr>
            <w:tcW w:w="2268" w:type="dxa"/>
            <w:tcBorders>
              <w:top w:val="single" w:sz="4" w:space="0" w:color="auto"/>
              <w:left w:val="single" w:sz="4" w:space="0" w:color="auto"/>
              <w:bottom w:val="single" w:sz="4" w:space="0" w:color="auto"/>
              <w:right w:val="single" w:sz="4" w:space="0" w:color="auto"/>
            </w:tcBorders>
          </w:tcPr>
          <w:p w14:paraId="16D6E99E"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3E12C1" w14:paraId="52A91768" w14:textId="77777777" w:rsidTr="00F638E7">
        <w:tc>
          <w:tcPr>
            <w:tcW w:w="7513" w:type="dxa"/>
            <w:tcBorders>
              <w:top w:val="single" w:sz="4" w:space="0" w:color="auto"/>
              <w:left w:val="single" w:sz="4" w:space="0" w:color="auto"/>
              <w:bottom w:val="single" w:sz="4" w:space="0" w:color="auto"/>
              <w:right w:val="single" w:sz="4" w:space="0" w:color="auto"/>
            </w:tcBorders>
          </w:tcPr>
          <w:p w14:paraId="4FF9766E"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Demonstrable understanding of GDPR and other regulatory compliance issues.</w:t>
            </w:r>
          </w:p>
        </w:tc>
        <w:tc>
          <w:tcPr>
            <w:tcW w:w="2268" w:type="dxa"/>
            <w:tcBorders>
              <w:top w:val="single" w:sz="4" w:space="0" w:color="auto"/>
              <w:left w:val="single" w:sz="4" w:space="0" w:color="auto"/>
              <w:bottom w:val="single" w:sz="4" w:space="0" w:color="auto"/>
              <w:right w:val="single" w:sz="4" w:space="0" w:color="auto"/>
            </w:tcBorders>
          </w:tcPr>
          <w:p w14:paraId="304142B6"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bl>
    <w:p w14:paraId="7EEDA21A" w14:textId="77777777" w:rsidR="009F78CF" w:rsidRDefault="009F78CF">
      <w:r>
        <w:br w:type="page"/>
      </w:r>
    </w:p>
    <w:tbl>
      <w:tblPr>
        <w:tblW w:w="9781" w:type="dxa"/>
        <w:tblInd w:w="-5" w:type="dxa"/>
        <w:tblLayout w:type="fixed"/>
        <w:tblLook w:val="04A0" w:firstRow="1" w:lastRow="0" w:firstColumn="1" w:lastColumn="0" w:noHBand="0" w:noVBand="1"/>
      </w:tblPr>
      <w:tblGrid>
        <w:gridCol w:w="7513"/>
        <w:gridCol w:w="2268"/>
      </w:tblGrid>
      <w:tr w:rsidR="00F638E7" w:rsidRPr="003E12C1" w14:paraId="008E7E7F" w14:textId="77777777" w:rsidTr="00F638E7">
        <w:tc>
          <w:tcPr>
            <w:tcW w:w="7513" w:type="dxa"/>
            <w:tcBorders>
              <w:top w:val="single" w:sz="4" w:space="0" w:color="auto"/>
              <w:left w:val="single" w:sz="4" w:space="0" w:color="auto"/>
              <w:bottom w:val="single" w:sz="4" w:space="0" w:color="auto"/>
              <w:right w:val="single" w:sz="4" w:space="0" w:color="auto"/>
            </w:tcBorders>
          </w:tcPr>
          <w:p w14:paraId="3BF3E213" w14:textId="74F1E511" w:rsidR="00F638E7" w:rsidRPr="009F78CF" w:rsidRDefault="00F638E7" w:rsidP="00963A72">
            <w:pPr>
              <w:rPr>
                <w:rFonts w:ascii="Calibri" w:hAnsi="Calibri" w:cs="Calibri"/>
                <w:sz w:val="24"/>
                <w:szCs w:val="24"/>
              </w:rPr>
            </w:pPr>
            <w:r w:rsidRPr="009F78CF">
              <w:rPr>
                <w:rFonts w:ascii="Calibri" w:hAnsi="Calibri" w:cs="Calibri"/>
                <w:sz w:val="24"/>
                <w:szCs w:val="24"/>
              </w:rPr>
              <w:lastRenderedPageBreak/>
              <w:t>Strong understanding of the UK philanthropic environment across UHNWIs, Major Donors, Trusts and Foundations and Corporates.</w:t>
            </w:r>
          </w:p>
        </w:tc>
        <w:tc>
          <w:tcPr>
            <w:tcW w:w="2268" w:type="dxa"/>
            <w:tcBorders>
              <w:top w:val="single" w:sz="4" w:space="0" w:color="auto"/>
              <w:left w:val="single" w:sz="4" w:space="0" w:color="auto"/>
              <w:bottom w:val="single" w:sz="4" w:space="0" w:color="auto"/>
              <w:right w:val="single" w:sz="4" w:space="0" w:color="auto"/>
            </w:tcBorders>
          </w:tcPr>
          <w:p w14:paraId="1634BEF5"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Desirable</w:t>
            </w:r>
          </w:p>
        </w:tc>
      </w:tr>
      <w:tr w:rsidR="00F638E7" w:rsidRPr="000C0A85" w14:paraId="4D17A75F" w14:textId="77777777" w:rsidTr="00F638E7">
        <w:tc>
          <w:tcPr>
            <w:tcW w:w="7513" w:type="dxa"/>
            <w:tcBorders>
              <w:top w:val="single" w:sz="4" w:space="0" w:color="auto"/>
              <w:left w:val="single" w:sz="4" w:space="0" w:color="auto"/>
              <w:bottom w:val="single" w:sz="4" w:space="0" w:color="auto"/>
              <w:right w:val="single" w:sz="4" w:space="0" w:color="auto"/>
            </w:tcBorders>
          </w:tcPr>
          <w:p w14:paraId="11F79E34" w14:textId="77777777" w:rsidR="00F638E7" w:rsidRPr="009F78CF" w:rsidRDefault="00F638E7" w:rsidP="00963A72">
            <w:pPr>
              <w:rPr>
                <w:rFonts w:ascii="Calibri" w:hAnsi="Calibri" w:cs="Calibri"/>
                <w:b/>
                <w:bCs/>
                <w:sz w:val="24"/>
                <w:szCs w:val="24"/>
              </w:rPr>
            </w:pPr>
            <w:r w:rsidRPr="009F78CF">
              <w:rPr>
                <w:rFonts w:ascii="Calibri" w:hAnsi="Calibri" w:cs="Calibri"/>
                <w:b/>
                <w:bCs/>
                <w:sz w:val="24"/>
                <w:szCs w:val="24"/>
              </w:rPr>
              <w:t>Personal Qualities</w:t>
            </w:r>
          </w:p>
        </w:tc>
        <w:tc>
          <w:tcPr>
            <w:tcW w:w="2268" w:type="dxa"/>
            <w:tcBorders>
              <w:top w:val="single" w:sz="4" w:space="0" w:color="auto"/>
              <w:left w:val="single" w:sz="4" w:space="0" w:color="auto"/>
              <w:bottom w:val="single" w:sz="4" w:space="0" w:color="auto"/>
              <w:right w:val="single" w:sz="4" w:space="0" w:color="auto"/>
            </w:tcBorders>
          </w:tcPr>
          <w:p w14:paraId="637CFD8B" w14:textId="77777777" w:rsidR="00F638E7" w:rsidRPr="009F78CF" w:rsidRDefault="00F638E7" w:rsidP="00963A72">
            <w:pPr>
              <w:rPr>
                <w:rFonts w:ascii="Calibri" w:hAnsi="Calibri" w:cs="Calibri"/>
                <w:b/>
                <w:bCs/>
                <w:sz w:val="24"/>
                <w:szCs w:val="24"/>
              </w:rPr>
            </w:pPr>
            <w:r w:rsidRPr="009F78CF">
              <w:rPr>
                <w:rFonts w:ascii="Calibri" w:hAnsi="Calibri" w:cs="Calibri"/>
                <w:b/>
                <w:bCs/>
                <w:sz w:val="24"/>
                <w:szCs w:val="24"/>
              </w:rPr>
              <w:t>Essential/Desirable</w:t>
            </w:r>
          </w:p>
        </w:tc>
      </w:tr>
      <w:tr w:rsidR="00F638E7" w:rsidRPr="000C0A85" w14:paraId="4B8B6BAC" w14:textId="77777777" w:rsidTr="00F638E7">
        <w:tc>
          <w:tcPr>
            <w:tcW w:w="7513" w:type="dxa"/>
            <w:tcBorders>
              <w:top w:val="single" w:sz="4" w:space="0" w:color="auto"/>
              <w:left w:val="single" w:sz="4" w:space="0" w:color="auto"/>
              <w:bottom w:val="single" w:sz="4" w:space="0" w:color="auto"/>
              <w:right w:val="single" w:sz="4" w:space="0" w:color="auto"/>
            </w:tcBorders>
          </w:tcPr>
          <w:p w14:paraId="1F7CB43E"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Strong attention to detail</w:t>
            </w:r>
          </w:p>
        </w:tc>
        <w:tc>
          <w:tcPr>
            <w:tcW w:w="2268" w:type="dxa"/>
            <w:tcBorders>
              <w:top w:val="single" w:sz="4" w:space="0" w:color="auto"/>
              <w:left w:val="single" w:sz="4" w:space="0" w:color="auto"/>
              <w:bottom w:val="single" w:sz="4" w:space="0" w:color="auto"/>
              <w:right w:val="single" w:sz="4" w:space="0" w:color="auto"/>
            </w:tcBorders>
          </w:tcPr>
          <w:p w14:paraId="0E1B6201"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0C0A85" w14:paraId="691D50B2" w14:textId="77777777" w:rsidTr="00F638E7">
        <w:tc>
          <w:tcPr>
            <w:tcW w:w="7513" w:type="dxa"/>
            <w:tcBorders>
              <w:top w:val="single" w:sz="4" w:space="0" w:color="auto"/>
              <w:left w:val="single" w:sz="4" w:space="0" w:color="auto"/>
              <w:bottom w:val="single" w:sz="4" w:space="0" w:color="auto"/>
              <w:right w:val="single" w:sz="4" w:space="0" w:color="auto"/>
            </w:tcBorders>
          </w:tcPr>
          <w:p w14:paraId="3EAE7EE0"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Good oral and written communication skills</w:t>
            </w:r>
          </w:p>
        </w:tc>
        <w:tc>
          <w:tcPr>
            <w:tcW w:w="2268" w:type="dxa"/>
            <w:tcBorders>
              <w:top w:val="single" w:sz="4" w:space="0" w:color="auto"/>
              <w:left w:val="single" w:sz="4" w:space="0" w:color="auto"/>
              <w:bottom w:val="single" w:sz="4" w:space="0" w:color="auto"/>
              <w:right w:val="single" w:sz="4" w:space="0" w:color="auto"/>
            </w:tcBorders>
          </w:tcPr>
          <w:p w14:paraId="4746259A"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0C0A85" w14:paraId="756D3767" w14:textId="77777777" w:rsidTr="00F638E7">
        <w:tc>
          <w:tcPr>
            <w:tcW w:w="7513" w:type="dxa"/>
            <w:tcBorders>
              <w:top w:val="single" w:sz="4" w:space="0" w:color="auto"/>
              <w:left w:val="single" w:sz="4" w:space="0" w:color="auto"/>
              <w:bottom w:val="single" w:sz="4" w:space="0" w:color="auto"/>
              <w:right w:val="single" w:sz="4" w:space="0" w:color="auto"/>
            </w:tcBorders>
          </w:tcPr>
          <w:p w14:paraId="24ADAF02"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Willingness to collaborate and work with colleagues to identify prospects</w:t>
            </w:r>
          </w:p>
        </w:tc>
        <w:tc>
          <w:tcPr>
            <w:tcW w:w="2268" w:type="dxa"/>
            <w:tcBorders>
              <w:top w:val="single" w:sz="4" w:space="0" w:color="auto"/>
              <w:left w:val="single" w:sz="4" w:space="0" w:color="auto"/>
              <w:bottom w:val="single" w:sz="4" w:space="0" w:color="auto"/>
              <w:right w:val="single" w:sz="4" w:space="0" w:color="auto"/>
            </w:tcBorders>
          </w:tcPr>
          <w:p w14:paraId="361F9A3F"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F638E7" w:rsidRPr="000C0A85" w14:paraId="53E75CC8" w14:textId="77777777" w:rsidTr="00F638E7">
        <w:tc>
          <w:tcPr>
            <w:tcW w:w="7513" w:type="dxa"/>
            <w:tcBorders>
              <w:top w:val="single" w:sz="4" w:space="0" w:color="auto"/>
              <w:left w:val="single" w:sz="4" w:space="0" w:color="auto"/>
              <w:bottom w:val="single" w:sz="4" w:space="0" w:color="auto"/>
              <w:right w:val="single" w:sz="4" w:space="0" w:color="auto"/>
            </w:tcBorders>
          </w:tcPr>
          <w:p w14:paraId="79F3666C"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Strong natural communicator</w:t>
            </w:r>
          </w:p>
        </w:tc>
        <w:tc>
          <w:tcPr>
            <w:tcW w:w="2268" w:type="dxa"/>
            <w:tcBorders>
              <w:top w:val="single" w:sz="4" w:space="0" w:color="auto"/>
              <w:left w:val="single" w:sz="4" w:space="0" w:color="auto"/>
              <w:bottom w:val="single" w:sz="4" w:space="0" w:color="auto"/>
              <w:right w:val="single" w:sz="4" w:space="0" w:color="auto"/>
            </w:tcBorders>
          </w:tcPr>
          <w:p w14:paraId="09AD2EC1" w14:textId="77777777" w:rsidR="00F638E7" w:rsidRPr="009F78CF" w:rsidRDefault="00F638E7" w:rsidP="00963A72">
            <w:pPr>
              <w:rPr>
                <w:rFonts w:ascii="Calibri" w:hAnsi="Calibri" w:cs="Calibri"/>
                <w:sz w:val="24"/>
                <w:szCs w:val="24"/>
              </w:rPr>
            </w:pPr>
            <w:r w:rsidRPr="009F78CF">
              <w:rPr>
                <w:rFonts w:ascii="Calibri" w:hAnsi="Calibri" w:cs="Calibri"/>
                <w:sz w:val="24"/>
                <w:szCs w:val="24"/>
              </w:rPr>
              <w:t>Essential</w:t>
            </w:r>
          </w:p>
        </w:tc>
      </w:tr>
      <w:tr w:rsidR="009F78CF" w:rsidRPr="000C0A85" w14:paraId="2034A9AD" w14:textId="77777777" w:rsidTr="00F638E7">
        <w:tc>
          <w:tcPr>
            <w:tcW w:w="7513" w:type="dxa"/>
            <w:tcBorders>
              <w:top w:val="single" w:sz="4" w:space="0" w:color="auto"/>
              <w:left w:val="single" w:sz="4" w:space="0" w:color="auto"/>
              <w:bottom w:val="single" w:sz="4" w:space="0" w:color="auto"/>
              <w:right w:val="single" w:sz="4" w:space="0" w:color="auto"/>
            </w:tcBorders>
          </w:tcPr>
          <w:p w14:paraId="5FE8C028" w14:textId="33E04244" w:rsidR="009F78CF" w:rsidRPr="009F78CF" w:rsidRDefault="009F78CF" w:rsidP="00963A72">
            <w:pPr>
              <w:rPr>
                <w:rFonts w:ascii="Calibri" w:hAnsi="Calibri" w:cs="Calibri"/>
                <w:b/>
                <w:bCs/>
                <w:sz w:val="24"/>
                <w:szCs w:val="24"/>
              </w:rPr>
            </w:pPr>
            <w:r w:rsidRPr="009F78CF">
              <w:rPr>
                <w:rFonts w:ascii="Calibri" w:hAnsi="Calibri" w:cs="Calibri"/>
                <w:b/>
                <w:bCs/>
                <w:sz w:val="24"/>
                <w:szCs w:val="24"/>
              </w:rPr>
              <w:t>Qualifications</w:t>
            </w:r>
            <w:r w:rsidR="0093692C">
              <w:rPr>
                <w:rFonts w:ascii="Calibri" w:hAnsi="Calibri" w:cs="Calibri"/>
                <w:b/>
                <w:bCs/>
                <w:sz w:val="24"/>
                <w:szCs w:val="24"/>
              </w:rPr>
              <w:t>/ Requirements</w:t>
            </w:r>
          </w:p>
        </w:tc>
        <w:tc>
          <w:tcPr>
            <w:tcW w:w="2268" w:type="dxa"/>
            <w:tcBorders>
              <w:top w:val="single" w:sz="4" w:space="0" w:color="auto"/>
              <w:left w:val="single" w:sz="4" w:space="0" w:color="auto"/>
              <w:bottom w:val="single" w:sz="4" w:space="0" w:color="auto"/>
              <w:right w:val="single" w:sz="4" w:space="0" w:color="auto"/>
            </w:tcBorders>
          </w:tcPr>
          <w:p w14:paraId="7F209658" w14:textId="77777777" w:rsidR="009F78CF" w:rsidRPr="009F78CF" w:rsidRDefault="009F78CF" w:rsidP="00963A72">
            <w:pPr>
              <w:rPr>
                <w:rFonts w:ascii="Calibri" w:hAnsi="Calibri" w:cs="Calibri"/>
                <w:sz w:val="24"/>
                <w:szCs w:val="24"/>
              </w:rPr>
            </w:pPr>
          </w:p>
        </w:tc>
      </w:tr>
      <w:tr w:rsidR="0093692C" w:rsidRPr="000C0A85" w14:paraId="26053E74" w14:textId="77777777" w:rsidTr="00F638E7">
        <w:tc>
          <w:tcPr>
            <w:tcW w:w="7513" w:type="dxa"/>
            <w:tcBorders>
              <w:top w:val="single" w:sz="4" w:space="0" w:color="auto"/>
              <w:left w:val="single" w:sz="4" w:space="0" w:color="auto"/>
              <w:bottom w:val="single" w:sz="4" w:space="0" w:color="auto"/>
              <w:right w:val="single" w:sz="4" w:space="0" w:color="auto"/>
            </w:tcBorders>
          </w:tcPr>
          <w:p w14:paraId="2207C527" w14:textId="0A28712D" w:rsidR="0093692C" w:rsidRPr="009F78CF" w:rsidRDefault="0093692C" w:rsidP="0093692C">
            <w:pPr>
              <w:rPr>
                <w:rFonts w:ascii="Calibri" w:hAnsi="Calibri" w:cs="Calibri"/>
                <w:b/>
                <w:bCs/>
                <w:sz w:val="24"/>
                <w:szCs w:val="24"/>
              </w:rPr>
            </w:pPr>
            <w:r w:rsidRPr="0093692C">
              <w:rPr>
                <w:rFonts w:ascii="Calibri" w:hAnsi="Calibri" w:cs="Calibri"/>
                <w:sz w:val="24"/>
                <w:szCs w:val="24"/>
              </w:rPr>
              <w:t>UK driving licence, access to own transport and willing and able to drive across the region as required.</w:t>
            </w:r>
          </w:p>
        </w:tc>
        <w:tc>
          <w:tcPr>
            <w:tcW w:w="2268" w:type="dxa"/>
            <w:tcBorders>
              <w:top w:val="single" w:sz="4" w:space="0" w:color="auto"/>
              <w:left w:val="single" w:sz="4" w:space="0" w:color="auto"/>
              <w:bottom w:val="single" w:sz="4" w:space="0" w:color="auto"/>
              <w:right w:val="single" w:sz="4" w:space="0" w:color="auto"/>
            </w:tcBorders>
          </w:tcPr>
          <w:p w14:paraId="1F233DC4" w14:textId="4C8A6F3D" w:rsidR="0093692C" w:rsidRPr="009F78CF" w:rsidRDefault="0093692C" w:rsidP="0093692C">
            <w:pPr>
              <w:rPr>
                <w:rFonts w:ascii="Calibri" w:hAnsi="Calibri" w:cs="Calibri"/>
                <w:sz w:val="24"/>
                <w:szCs w:val="24"/>
              </w:rPr>
            </w:pPr>
            <w:r w:rsidRPr="0093692C">
              <w:rPr>
                <w:rFonts w:ascii="Calibri" w:hAnsi="Calibri" w:cs="Calibri"/>
                <w:sz w:val="24"/>
                <w:szCs w:val="24"/>
              </w:rPr>
              <w:t>Essential</w:t>
            </w:r>
          </w:p>
        </w:tc>
      </w:tr>
      <w:tr w:rsidR="009F78CF" w:rsidRPr="000C0A85" w14:paraId="0D08BB48" w14:textId="77777777" w:rsidTr="00730A62">
        <w:tc>
          <w:tcPr>
            <w:tcW w:w="7513" w:type="dxa"/>
            <w:tcBorders>
              <w:top w:val="single" w:sz="4" w:space="0" w:color="auto"/>
              <w:left w:val="single" w:sz="4" w:space="0" w:color="auto"/>
              <w:bottom w:val="single" w:sz="4" w:space="0" w:color="auto"/>
              <w:right w:val="single" w:sz="4" w:space="0" w:color="auto"/>
            </w:tcBorders>
          </w:tcPr>
          <w:p w14:paraId="7CE5C343" w14:textId="77777777" w:rsidR="009F78CF" w:rsidRPr="009F78CF" w:rsidRDefault="009F78CF" w:rsidP="00730A62">
            <w:pPr>
              <w:rPr>
                <w:rFonts w:ascii="Calibri" w:hAnsi="Calibri" w:cs="Calibri"/>
                <w:sz w:val="24"/>
                <w:szCs w:val="24"/>
              </w:rPr>
            </w:pPr>
            <w:r w:rsidRPr="009F78CF">
              <w:rPr>
                <w:rFonts w:ascii="Calibri" w:hAnsi="Calibri" w:cs="Calibri"/>
                <w:sz w:val="24"/>
                <w:szCs w:val="24"/>
              </w:rPr>
              <w:t>Masters level degree in a research discipline</w:t>
            </w:r>
          </w:p>
        </w:tc>
        <w:tc>
          <w:tcPr>
            <w:tcW w:w="2268" w:type="dxa"/>
            <w:tcBorders>
              <w:top w:val="single" w:sz="4" w:space="0" w:color="auto"/>
              <w:left w:val="single" w:sz="4" w:space="0" w:color="auto"/>
              <w:bottom w:val="single" w:sz="4" w:space="0" w:color="auto"/>
              <w:right w:val="single" w:sz="4" w:space="0" w:color="auto"/>
            </w:tcBorders>
          </w:tcPr>
          <w:p w14:paraId="1580E61E" w14:textId="7331ADCB" w:rsidR="009F78CF" w:rsidRPr="009F78CF" w:rsidRDefault="009F78CF" w:rsidP="00730A62">
            <w:pPr>
              <w:rPr>
                <w:rFonts w:ascii="Calibri" w:hAnsi="Calibri" w:cs="Calibri"/>
                <w:sz w:val="24"/>
                <w:szCs w:val="24"/>
              </w:rPr>
            </w:pPr>
            <w:r>
              <w:rPr>
                <w:rFonts w:ascii="Calibri" w:hAnsi="Calibri" w:cs="Calibri"/>
                <w:sz w:val="24"/>
                <w:szCs w:val="24"/>
              </w:rPr>
              <w:t>Desirable</w:t>
            </w:r>
          </w:p>
        </w:tc>
      </w:tr>
    </w:tbl>
    <w:p w14:paraId="66FE2F52" w14:textId="77777777" w:rsidR="00153754" w:rsidRPr="00E5219C" w:rsidRDefault="00153754" w:rsidP="00E5219C">
      <w:pPr>
        <w:rPr>
          <w:rFonts w:ascii="Calibri" w:hAnsi="Calibri" w:cs="Calibri"/>
          <w:b/>
          <w:bCs/>
          <w:sz w:val="24"/>
          <w:szCs w:val="24"/>
        </w:rPr>
      </w:pPr>
    </w:p>
    <w:p w14:paraId="38D96C8B" w14:textId="77777777" w:rsidR="00B83BFB" w:rsidRDefault="00B83BFB" w:rsidP="00F1102A">
      <w:pPr>
        <w:pStyle w:val="Docbodycopy"/>
      </w:pPr>
    </w:p>
    <w:p w14:paraId="0B95ED70" w14:textId="77777777" w:rsidR="00061F18" w:rsidRDefault="00061F18" w:rsidP="00061F18">
      <w:pPr>
        <w:rPr>
          <w:rFonts w:ascii="Adelle Rg" w:hAnsi="Adelle Rg"/>
        </w:rPr>
      </w:pPr>
    </w:p>
    <w:p w14:paraId="223D2574" w14:textId="77777777" w:rsidR="009F78CF" w:rsidRDefault="009F78CF">
      <w:pPr>
        <w:rPr>
          <w:rFonts w:ascii="Adelle Rg" w:hAnsi="Adelle Rg"/>
          <w:b/>
          <w:bCs/>
          <w:color w:val="008296"/>
          <w:sz w:val="36"/>
          <w:szCs w:val="40"/>
        </w:rPr>
      </w:pPr>
      <w:r>
        <w:rPr>
          <w:rFonts w:ascii="Adelle Rg" w:hAnsi="Adelle Rg"/>
        </w:rPr>
        <w:br w:type="page"/>
      </w:r>
    </w:p>
    <w:p w14:paraId="3D677576" w14:textId="61D42285" w:rsidR="00061F18" w:rsidRPr="000C7FA6" w:rsidRDefault="00061F18" w:rsidP="00061F18">
      <w:pPr>
        <w:pStyle w:val="Docsubtitle16pt"/>
        <w:rPr>
          <w:rFonts w:ascii="Adelle Rg" w:hAnsi="Adelle Rg"/>
        </w:rPr>
      </w:pPr>
      <w:r>
        <w:rPr>
          <w:rFonts w:ascii="Adelle Rg" w:hAnsi="Adelle Rg"/>
        </w:rPr>
        <w:lastRenderedPageBreak/>
        <w:t>Terms and conditions</w:t>
      </w:r>
    </w:p>
    <w:tbl>
      <w:tblPr>
        <w:tblStyle w:val="TableGrid"/>
        <w:tblW w:w="0" w:type="auto"/>
        <w:tblLook w:val="04A0" w:firstRow="1" w:lastRow="0" w:firstColumn="1" w:lastColumn="0" w:noHBand="0" w:noVBand="1"/>
      </w:tblPr>
      <w:tblGrid>
        <w:gridCol w:w="2034"/>
        <w:gridCol w:w="7594"/>
      </w:tblGrid>
      <w:tr w:rsidR="001F7F4B" w:rsidRPr="000C7FA6" w14:paraId="3968AC7F" w14:textId="77777777" w:rsidTr="00061F18">
        <w:trPr>
          <w:trHeight w:val="600"/>
        </w:trPr>
        <w:tc>
          <w:tcPr>
            <w:tcW w:w="2046" w:type="dxa"/>
            <w:shd w:val="clear" w:color="auto" w:fill="F2F2F2" w:themeFill="background1" w:themeFillShade="F2"/>
          </w:tcPr>
          <w:p w14:paraId="68C0B9C0" w14:textId="419C2CD2" w:rsidR="001F7F4B" w:rsidRPr="000C7FA6" w:rsidRDefault="001F7F4B" w:rsidP="00061F18">
            <w:pPr>
              <w:rPr>
                <w:rFonts w:ascii="Calibri" w:hAnsi="Calibri" w:cs="Calibri"/>
                <w:b/>
                <w:bCs/>
                <w:color w:val="009999"/>
                <w:sz w:val="24"/>
                <w:szCs w:val="24"/>
              </w:rPr>
            </w:pPr>
            <w:r w:rsidRPr="000C7FA6">
              <w:rPr>
                <w:rFonts w:ascii="Calibri" w:hAnsi="Calibri" w:cs="Calibri"/>
                <w:b/>
                <w:bCs/>
                <w:sz w:val="24"/>
                <w:szCs w:val="24"/>
              </w:rPr>
              <w:t>Salary:</w:t>
            </w:r>
          </w:p>
        </w:tc>
        <w:tc>
          <w:tcPr>
            <w:tcW w:w="7808" w:type="dxa"/>
          </w:tcPr>
          <w:p w14:paraId="44A2ECF1" w14:textId="13A00A53" w:rsidR="001F7F4B" w:rsidRPr="000C7FA6" w:rsidRDefault="000C7FA6" w:rsidP="00061F18">
            <w:pPr>
              <w:pStyle w:val="Docbodycopy"/>
              <w:rPr>
                <w:b/>
                <w:bCs/>
                <w:sz w:val="44"/>
                <w:szCs w:val="44"/>
              </w:rPr>
            </w:pPr>
            <w:r w:rsidRPr="000C7FA6">
              <w:t xml:space="preserve">Within the range </w:t>
            </w:r>
            <w:r w:rsidR="000204DD" w:rsidRPr="002B5BD3">
              <w:rPr>
                <w:rFonts w:cstheme="minorHAnsi"/>
              </w:rPr>
              <w:t xml:space="preserve">£26,648.96 - </w:t>
            </w:r>
            <w:r w:rsidR="000204DD" w:rsidRPr="00521396">
              <w:rPr>
                <w:rFonts w:cstheme="minorHAnsi"/>
              </w:rPr>
              <w:t>£28,803.84</w:t>
            </w:r>
            <w:r w:rsidR="000204DD">
              <w:rPr>
                <w:rFonts w:cstheme="minorHAnsi"/>
              </w:rPr>
              <w:t xml:space="preserve"> </w:t>
            </w:r>
            <w:r w:rsidR="001F7F4B" w:rsidRPr="000C7FA6">
              <w:t>per annum (pro rata if part-time).</w:t>
            </w:r>
          </w:p>
        </w:tc>
      </w:tr>
      <w:tr w:rsidR="001F7F4B" w:rsidRPr="000C7FA6" w14:paraId="1D5E09FA" w14:textId="77777777" w:rsidTr="00061F18">
        <w:trPr>
          <w:trHeight w:val="1688"/>
        </w:trPr>
        <w:tc>
          <w:tcPr>
            <w:tcW w:w="2046" w:type="dxa"/>
            <w:shd w:val="clear" w:color="auto" w:fill="F2F2F2" w:themeFill="background1" w:themeFillShade="F2"/>
          </w:tcPr>
          <w:p w14:paraId="7FAE60E5" w14:textId="546B4387" w:rsidR="001F7F4B" w:rsidRPr="000C7FA6" w:rsidRDefault="001F7F4B" w:rsidP="00061F18">
            <w:pPr>
              <w:rPr>
                <w:rFonts w:ascii="Calibri" w:hAnsi="Calibri" w:cs="Calibri"/>
                <w:b/>
                <w:bCs/>
                <w:color w:val="009999"/>
                <w:sz w:val="24"/>
                <w:szCs w:val="24"/>
              </w:rPr>
            </w:pPr>
            <w:r w:rsidRPr="000C7FA6">
              <w:rPr>
                <w:rFonts w:ascii="Calibri" w:hAnsi="Calibri" w:cs="Calibri"/>
                <w:b/>
                <w:bCs/>
                <w:sz w:val="24"/>
                <w:szCs w:val="24"/>
              </w:rPr>
              <w:t>Hours:</w:t>
            </w:r>
          </w:p>
        </w:tc>
        <w:tc>
          <w:tcPr>
            <w:tcW w:w="7808" w:type="dxa"/>
          </w:tcPr>
          <w:p w14:paraId="5704680B" w14:textId="24F139DE" w:rsidR="0019767E" w:rsidRPr="00444171" w:rsidRDefault="001F7F4B" w:rsidP="00061F18">
            <w:pPr>
              <w:pStyle w:val="Docbodycopy"/>
              <w:rPr>
                <w:color w:val="EE0000"/>
              </w:rPr>
            </w:pPr>
            <w:r w:rsidRPr="000C7FA6">
              <w:t>35 hours per week, Monday to Friday</w:t>
            </w:r>
            <w:r w:rsidR="0019767E" w:rsidRPr="000C7FA6">
              <w:rPr>
                <w:color w:val="EE0000"/>
              </w:rPr>
              <w:t>.</w:t>
            </w:r>
            <w:r w:rsidR="000C7FA6" w:rsidRPr="000C7FA6">
              <w:rPr>
                <w:color w:val="EE0000"/>
              </w:rPr>
              <w:t xml:space="preserve"> </w:t>
            </w:r>
            <w:r w:rsidR="0019767E" w:rsidRPr="000C7FA6">
              <w:t>The nature of the post’s duties may occasionally require evening and/or weekend work</w:t>
            </w:r>
            <w:r w:rsidR="00444171">
              <w:t>.</w:t>
            </w:r>
            <w:r w:rsidR="0019767E" w:rsidRPr="000C7FA6">
              <w:rPr>
                <w:color w:val="EE0000"/>
              </w:rPr>
              <w:t xml:space="preserve"> </w:t>
            </w:r>
          </w:p>
          <w:p w14:paraId="5FC82C72" w14:textId="5F185193" w:rsidR="0019767E" w:rsidRPr="000C7FA6" w:rsidRDefault="0019767E" w:rsidP="00061F18">
            <w:pPr>
              <w:pStyle w:val="Docbodycopy"/>
              <w:rPr>
                <w:b/>
                <w:bCs/>
                <w:sz w:val="44"/>
                <w:szCs w:val="44"/>
              </w:rPr>
            </w:pPr>
            <w:r w:rsidRPr="000C7FA6">
              <w:t>Paid overtime is not available, but time off in lieu will be given for essential additional hours worked.</w:t>
            </w:r>
          </w:p>
        </w:tc>
      </w:tr>
      <w:tr w:rsidR="0019767E" w:rsidRPr="000C7FA6" w14:paraId="03990F02" w14:textId="77777777" w:rsidTr="000204DD">
        <w:trPr>
          <w:trHeight w:val="862"/>
        </w:trPr>
        <w:tc>
          <w:tcPr>
            <w:tcW w:w="2046" w:type="dxa"/>
            <w:shd w:val="clear" w:color="auto" w:fill="F2F2F2" w:themeFill="background1" w:themeFillShade="F2"/>
          </w:tcPr>
          <w:p w14:paraId="3BB17943" w14:textId="0D11C61D" w:rsidR="0019767E" w:rsidRPr="000C7FA6" w:rsidRDefault="0019767E" w:rsidP="00061F18">
            <w:pPr>
              <w:rPr>
                <w:rFonts w:ascii="Calibri" w:hAnsi="Calibri" w:cs="Calibri"/>
                <w:b/>
                <w:bCs/>
                <w:color w:val="009999"/>
                <w:sz w:val="24"/>
                <w:szCs w:val="24"/>
              </w:rPr>
            </w:pPr>
            <w:r w:rsidRPr="000C7FA6">
              <w:rPr>
                <w:rFonts w:ascii="Calibri" w:hAnsi="Calibri" w:cs="Calibri"/>
                <w:b/>
                <w:bCs/>
                <w:sz w:val="24"/>
                <w:szCs w:val="24"/>
              </w:rPr>
              <w:t>Contract:</w:t>
            </w:r>
          </w:p>
        </w:tc>
        <w:tc>
          <w:tcPr>
            <w:tcW w:w="7808" w:type="dxa"/>
          </w:tcPr>
          <w:p w14:paraId="2285D715" w14:textId="53D769D7" w:rsidR="0019767E" w:rsidRPr="000C7FA6" w:rsidRDefault="000204DD" w:rsidP="00061F18">
            <w:pPr>
              <w:pStyle w:val="Docbodycopy"/>
              <w:rPr>
                <w:b/>
                <w:bCs/>
                <w:sz w:val="44"/>
                <w:szCs w:val="44"/>
              </w:rPr>
            </w:pPr>
            <w:r>
              <w:t>Fixed Term for 2 years.</w:t>
            </w:r>
            <w:r w:rsidR="0019767E" w:rsidRPr="000C7FA6">
              <w:rPr>
                <w:color w:val="FF0000"/>
              </w:rPr>
              <w:t xml:space="preserve"> </w:t>
            </w:r>
            <w:r w:rsidR="0019767E" w:rsidRPr="000C7FA6">
              <w:t xml:space="preserve">A probationary period of </w:t>
            </w:r>
            <w:r w:rsidR="009F78CF">
              <w:t>4</w:t>
            </w:r>
            <w:r w:rsidR="0019767E" w:rsidRPr="000C7FA6">
              <w:t xml:space="preserve"> months applies to new staff, during which you must complete all essential, mandatory training.</w:t>
            </w:r>
          </w:p>
        </w:tc>
      </w:tr>
      <w:tr w:rsidR="0019767E" w:rsidRPr="000C7FA6" w14:paraId="3C3F0626" w14:textId="77777777" w:rsidTr="00061F18">
        <w:trPr>
          <w:trHeight w:val="1401"/>
        </w:trPr>
        <w:tc>
          <w:tcPr>
            <w:tcW w:w="2046" w:type="dxa"/>
            <w:shd w:val="clear" w:color="auto" w:fill="F2F2F2" w:themeFill="background1" w:themeFillShade="F2"/>
          </w:tcPr>
          <w:p w14:paraId="7ED87B35" w14:textId="2C6BD432" w:rsidR="0019767E" w:rsidRPr="000C7FA6" w:rsidRDefault="0019767E" w:rsidP="00061F18">
            <w:pPr>
              <w:rPr>
                <w:rFonts w:ascii="Calibri" w:hAnsi="Calibri" w:cs="Calibri"/>
                <w:b/>
                <w:bCs/>
                <w:color w:val="009999"/>
                <w:sz w:val="24"/>
                <w:szCs w:val="24"/>
              </w:rPr>
            </w:pPr>
            <w:r w:rsidRPr="000C7FA6">
              <w:rPr>
                <w:rFonts w:ascii="Calibri" w:hAnsi="Calibri" w:cs="Calibri"/>
                <w:b/>
                <w:bCs/>
                <w:sz w:val="24"/>
                <w:szCs w:val="24"/>
              </w:rPr>
              <w:t>Flexibility:</w:t>
            </w:r>
          </w:p>
        </w:tc>
        <w:tc>
          <w:tcPr>
            <w:tcW w:w="7808" w:type="dxa"/>
          </w:tcPr>
          <w:p w14:paraId="51FB9990" w14:textId="7D6BBD6F" w:rsidR="0019767E" w:rsidRPr="000C7FA6" w:rsidRDefault="0019767E" w:rsidP="00061F18">
            <w:pPr>
              <w:pStyle w:val="Docbodycopy"/>
              <w:rPr>
                <w:b/>
                <w:bCs/>
                <w:sz w:val="44"/>
                <w:szCs w:val="44"/>
              </w:rPr>
            </w:pPr>
            <w:r w:rsidRPr="000C7FA6">
              <w:t>Whilst ensuring the needs of the business and the role are met, the Trust endeavours to meet the flexible working needs of its employees. Depending on the nature of the role, the Trust offers hybrid working (a mix of office and at home).</w:t>
            </w:r>
          </w:p>
        </w:tc>
      </w:tr>
      <w:tr w:rsidR="0019767E" w:rsidRPr="000C7FA6" w14:paraId="2EF04B79" w14:textId="77777777" w:rsidTr="00061F18">
        <w:trPr>
          <w:trHeight w:val="1123"/>
        </w:trPr>
        <w:tc>
          <w:tcPr>
            <w:tcW w:w="2046" w:type="dxa"/>
            <w:shd w:val="clear" w:color="auto" w:fill="F2F2F2" w:themeFill="background1" w:themeFillShade="F2"/>
          </w:tcPr>
          <w:p w14:paraId="58DBBBAA" w14:textId="1D973A83" w:rsidR="0019767E" w:rsidRPr="000C7FA6" w:rsidRDefault="0019767E" w:rsidP="00061F18">
            <w:pPr>
              <w:rPr>
                <w:rFonts w:ascii="Calibri" w:hAnsi="Calibri" w:cs="Calibri"/>
                <w:b/>
                <w:bCs/>
                <w:color w:val="009999"/>
                <w:sz w:val="24"/>
                <w:szCs w:val="24"/>
              </w:rPr>
            </w:pPr>
            <w:r w:rsidRPr="000C7FA6">
              <w:rPr>
                <w:rFonts w:ascii="Calibri" w:hAnsi="Calibri" w:cs="Calibri"/>
                <w:b/>
                <w:bCs/>
                <w:sz w:val="24"/>
                <w:szCs w:val="24"/>
              </w:rPr>
              <w:t>Holidays:</w:t>
            </w:r>
          </w:p>
        </w:tc>
        <w:tc>
          <w:tcPr>
            <w:tcW w:w="7808" w:type="dxa"/>
          </w:tcPr>
          <w:p w14:paraId="00BB5D20" w14:textId="3BE80B48" w:rsidR="0019767E" w:rsidRPr="000C7FA6" w:rsidRDefault="0019767E" w:rsidP="00061F18">
            <w:pPr>
              <w:pStyle w:val="Docbodycopy"/>
              <w:rPr>
                <w:b/>
                <w:bCs/>
                <w:sz w:val="44"/>
                <w:szCs w:val="44"/>
              </w:rPr>
            </w:pPr>
            <w:r w:rsidRPr="000C7FA6">
              <w:t>30 days per annum inclusive of 3 office/site closure days over the Christmas period, in addition to national public holidays, rising to 33 days after 5 years’ service. All leave is pro rata for part time employees.</w:t>
            </w:r>
          </w:p>
        </w:tc>
      </w:tr>
      <w:tr w:rsidR="0019767E" w:rsidRPr="000C7FA6" w14:paraId="1D0E65C9" w14:textId="77777777" w:rsidTr="00061F18">
        <w:trPr>
          <w:trHeight w:val="841"/>
        </w:trPr>
        <w:tc>
          <w:tcPr>
            <w:tcW w:w="2046" w:type="dxa"/>
            <w:shd w:val="clear" w:color="auto" w:fill="F2F2F2" w:themeFill="background1" w:themeFillShade="F2"/>
          </w:tcPr>
          <w:p w14:paraId="28877E56" w14:textId="30D2D8D2" w:rsidR="0019767E" w:rsidRPr="000C7FA6" w:rsidRDefault="0019767E" w:rsidP="00061F18">
            <w:pPr>
              <w:rPr>
                <w:rFonts w:ascii="Calibri" w:hAnsi="Calibri" w:cs="Calibri"/>
                <w:b/>
                <w:bCs/>
                <w:sz w:val="24"/>
                <w:szCs w:val="24"/>
              </w:rPr>
            </w:pPr>
            <w:r w:rsidRPr="000C7FA6">
              <w:rPr>
                <w:rFonts w:ascii="Calibri" w:hAnsi="Calibri" w:cs="Calibri"/>
                <w:b/>
                <w:bCs/>
                <w:sz w:val="24"/>
                <w:szCs w:val="24"/>
              </w:rPr>
              <w:t>Pensions:</w:t>
            </w:r>
          </w:p>
        </w:tc>
        <w:tc>
          <w:tcPr>
            <w:tcW w:w="7808" w:type="dxa"/>
          </w:tcPr>
          <w:p w14:paraId="710662EF" w14:textId="51CD0334" w:rsidR="0019767E" w:rsidRPr="000C7FA6" w:rsidRDefault="0019767E" w:rsidP="00061F18">
            <w:pPr>
              <w:pStyle w:val="Docbodycopy"/>
            </w:pPr>
            <w:r w:rsidRPr="000C7FA6">
              <w:rPr>
                <w:color w:val="000000"/>
              </w:rPr>
              <w:t>You may be eligible to be auto enrolled into the Trust’s Pension Scheme. Terms of the scheme are available on request from Finance.</w:t>
            </w:r>
          </w:p>
        </w:tc>
      </w:tr>
      <w:tr w:rsidR="0019767E" w:rsidRPr="000C7FA6" w14:paraId="1ABABA68" w14:textId="77777777" w:rsidTr="00061F18">
        <w:trPr>
          <w:trHeight w:val="1123"/>
        </w:trPr>
        <w:tc>
          <w:tcPr>
            <w:tcW w:w="2046" w:type="dxa"/>
            <w:shd w:val="clear" w:color="auto" w:fill="F2F2F2" w:themeFill="background1" w:themeFillShade="F2"/>
          </w:tcPr>
          <w:p w14:paraId="3D40466F" w14:textId="34EAD5CB" w:rsidR="0019767E" w:rsidRPr="000C7FA6" w:rsidRDefault="0019767E" w:rsidP="00061F18">
            <w:pPr>
              <w:rPr>
                <w:rFonts w:ascii="Calibri" w:hAnsi="Calibri" w:cs="Calibri"/>
                <w:b/>
                <w:bCs/>
                <w:sz w:val="24"/>
                <w:szCs w:val="24"/>
              </w:rPr>
            </w:pPr>
            <w:r w:rsidRPr="000C7FA6">
              <w:rPr>
                <w:rFonts w:ascii="Calibri" w:hAnsi="Calibri" w:cs="Calibri"/>
                <w:b/>
                <w:bCs/>
                <w:sz w:val="24"/>
                <w:szCs w:val="24"/>
              </w:rPr>
              <w:t>Employee Assistance Programme:</w:t>
            </w:r>
          </w:p>
        </w:tc>
        <w:tc>
          <w:tcPr>
            <w:tcW w:w="7808" w:type="dxa"/>
          </w:tcPr>
          <w:p w14:paraId="65DAECC9" w14:textId="52ECD517" w:rsidR="0019767E" w:rsidRPr="000C7FA6" w:rsidRDefault="0019767E" w:rsidP="00061F18">
            <w:pPr>
              <w:pStyle w:val="Docbodycopy"/>
            </w:pPr>
            <w:r w:rsidRPr="000C7FA6">
              <w:t>The Trust provides an Employee Assistance Programme. This is a confidential service which aims to provide staff with support for a range of issues.</w:t>
            </w:r>
          </w:p>
        </w:tc>
      </w:tr>
      <w:tr w:rsidR="0019767E" w:rsidRPr="000C7FA6" w14:paraId="701E4BC0" w14:textId="77777777" w:rsidTr="000204DD">
        <w:trPr>
          <w:trHeight w:val="853"/>
        </w:trPr>
        <w:tc>
          <w:tcPr>
            <w:tcW w:w="2046" w:type="dxa"/>
            <w:shd w:val="clear" w:color="auto" w:fill="F2F2F2" w:themeFill="background1" w:themeFillShade="F2"/>
          </w:tcPr>
          <w:p w14:paraId="0E81D2E8" w14:textId="3E150FAB" w:rsidR="0019767E" w:rsidRPr="000C7FA6" w:rsidRDefault="0019767E" w:rsidP="00061F18">
            <w:pPr>
              <w:rPr>
                <w:rFonts w:ascii="Calibri" w:hAnsi="Calibri" w:cs="Calibri"/>
                <w:b/>
                <w:bCs/>
                <w:sz w:val="24"/>
                <w:szCs w:val="24"/>
              </w:rPr>
            </w:pPr>
            <w:r w:rsidRPr="000C7FA6">
              <w:rPr>
                <w:rFonts w:ascii="Calibri" w:hAnsi="Calibri" w:cs="Calibri"/>
                <w:b/>
                <w:bCs/>
                <w:sz w:val="24"/>
                <w:szCs w:val="24"/>
              </w:rPr>
              <w:t>Health Questionnaire:</w:t>
            </w:r>
          </w:p>
        </w:tc>
        <w:tc>
          <w:tcPr>
            <w:tcW w:w="7808" w:type="dxa"/>
          </w:tcPr>
          <w:p w14:paraId="2584BB9D" w14:textId="2D608930" w:rsidR="0019767E" w:rsidRPr="000C7FA6" w:rsidRDefault="0019767E" w:rsidP="00061F18">
            <w:pPr>
              <w:pStyle w:val="Docbodycopy"/>
              <w:tabs>
                <w:tab w:val="left" w:pos="1072"/>
              </w:tabs>
            </w:pPr>
            <w:r w:rsidRPr="000C7FA6">
              <w:t>You will be asked to complete a health questionnaire in order to identify and support or adjustments you may require.</w:t>
            </w:r>
          </w:p>
        </w:tc>
      </w:tr>
      <w:tr w:rsidR="0019767E" w:rsidRPr="000C7FA6" w14:paraId="0A29BC4E" w14:textId="77777777" w:rsidTr="00061F18">
        <w:trPr>
          <w:trHeight w:val="1526"/>
        </w:trPr>
        <w:tc>
          <w:tcPr>
            <w:tcW w:w="2046" w:type="dxa"/>
            <w:shd w:val="clear" w:color="auto" w:fill="F2F2F2" w:themeFill="background1" w:themeFillShade="F2"/>
          </w:tcPr>
          <w:p w14:paraId="321BEC77" w14:textId="7EC605EC" w:rsidR="0019767E" w:rsidRPr="000C7FA6" w:rsidRDefault="0019767E" w:rsidP="00061F18">
            <w:pPr>
              <w:rPr>
                <w:rFonts w:ascii="Calibri" w:hAnsi="Calibri" w:cs="Calibri"/>
                <w:b/>
                <w:bCs/>
                <w:sz w:val="24"/>
                <w:szCs w:val="24"/>
              </w:rPr>
            </w:pPr>
            <w:r w:rsidRPr="000C7FA6">
              <w:rPr>
                <w:rFonts w:ascii="Calibri" w:hAnsi="Calibri" w:cs="Calibri"/>
                <w:b/>
                <w:bCs/>
                <w:sz w:val="24"/>
                <w:szCs w:val="24"/>
              </w:rPr>
              <w:t>Equal Opportunities:</w:t>
            </w:r>
          </w:p>
        </w:tc>
        <w:tc>
          <w:tcPr>
            <w:tcW w:w="7808" w:type="dxa"/>
          </w:tcPr>
          <w:p w14:paraId="744B5C88" w14:textId="4FAB9273" w:rsidR="0019767E" w:rsidRPr="000C7FA6" w:rsidRDefault="0019767E" w:rsidP="00061F18">
            <w:pPr>
              <w:pStyle w:val="Docbodycopy"/>
            </w:pPr>
            <w:r w:rsidRPr="000C7FA6">
              <w:rPr>
                <w:color w:val="000000"/>
              </w:rPr>
              <w:t>Yorkshire Wildlife Trust is committed to equal opportunities and appoints on merit. We welcome applicants from all sections of society regardless of gender, sexual orientation, race, disability, marital status, age and religion, perceived community background or political beliefs.</w:t>
            </w:r>
          </w:p>
        </w:tc>
      </w:tr>
      <w:tr w:rsidR="0019767E" w:rsidRPr="000C7FA6" w14:paraId="162A4310" w14:textId="77777777" w:rsidTr="00061F18">
        <w:trPr>
          <w:trHeight w:val="697"/>
        </w:trPr>
        <w:tc>
          <w:tcPr>
            <w:tcW w:w="2046" w:type="dxa"/>
            <w:shd w:val="clear" w:color="auto" w:fill="F2F2F2" w:themeFill="background1" w:themeFillShade="F2"/>
          </w:tcPr>
          <w:p w14:paraId="129E7E75" w14:textId="02C748BF" w:rsidR="0019767E" w:rsidRPr="000C7FA6" w:rsidRDefault="0019767E" w:rsidP="00061F18">
            <w:pPr>
              <w:rPr>
                <w:rFonts w:ascii="Calibri" w:hAnsi="Calibri" w:cs="Calibri"/>
                <w:b/>
                <w:bCs/>
                <w:sz w:val="24"/>
                <w:szCs w:val="24"/>
              </w:rPr>
            </w:pPr>
            <w:r w:rsidRPr="000C7FA6">
              <w:rPr>
                <w:rFonts w:ascii="Calibri" w:hAnsi="Calibri" w:cs="Calibri"/>
                <w:b/>
                <w:bCs/>
                <w:sz w:val="24"/>
                <w:szCs w:val="24"/>
              </w:rPr>
              <w:t>Place of Work:</w:t>
            </w:r>
          </w:p>
        </w:tc>
        <w:tc>
          <w:tcPr>
            <w:tcW w:w="7808" w:type="dxa"/>
          </w:tcPr>
          <w:p w14:paraId="65660713" w14:textId="52BB92AC" w:rsidR="0019767E" w:rsidRPr="000C7FA6" w:rsidRDefault="0019767E" w:rsidP="00061F18">
            <w:pPr>
              <w:pStyle w:val="Docbodycopy"/>
            </w:pPr>
            <w:r w:rsidRPr="000C7FA6">
              <w:t xml:space="preserve">The post will be based at </w:t>
            </w:r>
            <w:r w:rsidR="000204DD">
              <w:rPr>
                <w:rStyle w:val="DocbodycopyChar"/>
              </w:rPr>
              <w:t>York, Stirley or Potteric</w:t>
            </w:r>
          </w:p>
        </w:tc>
      </w:tr>
      <w:tr w:rsidR="0019767E" w:rsidRPr="000C7FA6" w14:paraId="5D5C52F8" w14:textId="77777777" w:rsidTr="0019767E">
        <w:trPr>
          <w:trHeight w:val="1254"/>
        </w:trPr>
        <w:tc>
          <w:tcPr>
            <w:tcW w:w="2046" w:type="dxa"/>
            <w:shd w:val="clear" w:color="auto" w:fill="F2F2F2" w:themeFill="background1" w:themeFillShade="F2"/>
          </w:tcPr>
          <w:p w14:paraId="7F57C0F4" w14:textId="6FE41EFE" w:rsidR="0019767E" w:rsidRPr="000C7FA6" w:rsidRDefault="0019767E" w:rsidP="00061F18">
            <w:pPr>
              <w:rPr>
                <w:rFonts w:ascii="Calibri" w:hAnsi="Calibri" w:cs="Calibri"/>
                <w:b/>
                <w:bCs/>
                <w:sz w:val="24"/>
                <w:szCs w:val="24"/>
              </w:rPr>
            </w:pPr>
            <w:r w:rsidRPr="000C7FA6">
              <w:rPr>
                <w:rFonts w:ascii="Calibri" w:hAnsi="Calibri" w:cs="Calibri"/>
                <w:b/>
                <w:bCs/>
                <w:sz w:val="24"/>
                <w:szCs w:val="24"/>
              </w:rPr>
              <w:lastRenderedPageBreak/>
              <w:t>Travel:</w:t>
            </w:r>
          </w:p>
        </w:tc>
        <w:tc>
          <w:tcPr>
            <w:tcW w:w="7808" w:type="dxa"/>
          </w:tcPr>
          <w:p w14:paraId="6492588F" w14:textId="6121518A" w:rsidR="0019767E" w:rsidRPr="000C7FA6" w:rsidRDefault="0019767E" w:rsidP="00061F18">
            <w:pPr>
              <w:pStyle w:val="Docbodycopy"/>
            </w:pPr>
            <w:r w:rsidRPr="000C7FA6">
              <w:t xml:space="preserve">Public transport is encouraged although pool vehicles are available.  In exceptional circumstances the use of the employee’s own vehicle may be necessary for business use, at a mileage rate of </w:t>
            </w:r>
            <w:r w:rsidR="009F78CF">
              <w:t>5</w:t>
            </w:r>
            <w:r w:rsidRPr="000C7FA6">
              <w:t>5p per mile.</w:t>
            </w:r>
          </w:p>
        </w:tc>
      </w:tr>
      <w:tr w:rsidR="0019767E" w:rsidRPr="000C7FA6" w14:paraId="454BD53D" w14:textId="77777777" w:rsidTr="00061F18">
        <w:trPr>
          <w:trHeight w:val="1562"/>
        </w:trPr>
        <w:tc>
          <w:tcPr>
            <w:tcW w:w="2046" w:type="dxa"/>
            <w:shd w:val="clear" w:color="auto" w:fill="F2F2F2" w:themeFill="background1" w:themeFillShade="F2"/>
          </w:tcPr>
          <w:p w14:paraId="39B30F7A" w14:textId="614B2374" w:rsidR="0019767E" w:rsidRPr="000C7FA6" w:rsidRDefault="0019767E" w:rsidP="00061F18">
            <w:pPr>
              <w:rPr>
                <w:rFonts w:ascii="Calibri" w:hAnsi="Calibri" w:cs="Calibri"/>
                <w:b/>
                <w:bCs/>
                <w:sz w:val="24"/>
                <w:szCs w:val="24"/>
              </w:rPr>
            </w:pPr>
            <w:r w:rsidRPr="000C7FA6">
              <w:rPr>
                <w:rFonts w:ascii="Calibri" w:hAnsi="Calibri" w:cs="Calibri"/>
                <w:b/>
                <w:bCs/>
                <w:sz w:val="24"/>
                <w:szCs w:val="24"/>
              </w:rPr>
              <w:t>Training &amp; Professional Memberships:</w:t>
            </w:r>
          </w:p>
        </w:tc>
        <w:tc>
          <w:tcPr>
            <w:tcW w:w="7808" w:type="dxa"/>
          </w:tcPr>
          <w:p w14:paraId="25659683" w14:textId="6B474B46" w:rsidR="0019767E" w:rsidRPr="000C7FA6" w:rsidRDefault="0019767E" w:rsidP="00061F18">
            <w:pPr>
              <w:pStyle w:val="Docbodycopy"/>
            </w:pPr>
            <w:r w:rsidRPr="000C7FA6">
              <w:t>The Trust is fully committed to personal development and training and supports achieving and maintaining professional memberships and accreditations, with any essential-to-role professional memberships paid for by the Trust.</w:t>
            </w:r>
          </w:p>
        </w:tc>
      </w:tr>
    </w:tbl>
    <w:p w14:paraId="1954E422" w14:textId="77777777" w:rsidR="001F7F4B" w:rsidRPr="000747D2" w:rsidRDefault="001F7F4B" w:rsidP="00A1255C">
      <w:pPr>
        <w:pStyle w:val="Docsubtitle16pt"/>
      </w:pPr>
    </w:p>
    <w:p w14:paraId="41D8FBD3" w14:textId="77777777" w:rsidR="00B83BFB" w:rsidRDefault="00B83BFB" w:rsidP="00F1102A">
      <w:pPr>
        <w:pStyle w:val="Docbodycopy"/>
      </w:pPr>
    </w:p>
    <w:p w14:paraId="3BD214D2" w14:textId="77777777" w:rsidR="00B83BFB" w:rsidRDefault="00B83BFB" w:rsidP="00F1102A">
      <w:pPr>
        <w:pStyle w:val="Docbodycopy"/>
      </w:pPr>
    </w:p>
    <w:p w14:paraId="0897BDFC" w14:textId="77777777" w:rsidR="00B83BFB" w:rsidRDefault="00B83BFB" w:rsidP="00F1102A">
      <w:pPr>
        <w:pStyle w:val="Docbodycopy"/>
      </w:pPr>
    </w:p>
    <w:p w14:paraId="535499E6" w14:textId="77777777" w:rsidR="00B83BFB" w:rsidRPr="00F117C0" w:rsidRDefault="00B83BFB" w:rsidP="00F1102A">
      <w:pPr>
        <w:pStyle w:val="Docbodycopy"/>
      </w:pPr>
    </w:p>
    <w:sectPr w:rsidR="00B83BFB" w:rsidRPr="00F117C0" w:rsidSect="009F78CF">
      <w:headerReference w:type="default" r:id="rId13"/>
      <w:footerReference w:type="default" r:id="rId14"/>
      <w:pgSz w:w="11906" w:h="16838"/>
      <w:pgMar w:top="1021" w:right="1134" w:bottom="1701" w:left="1134" w:header="709" w:footer="0"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en Perthen" w:date="2025-07-30T15:56:00Z" w:initials="LP">
    <w:p w14:paraId="7ECA0AFF" w14:textId="77777777" w:rsidR="00F638E7" w:rsidRDefault="00F638E7" w:rsidP="003E2F74">
      <w:pPr>
        <w:pStyle w:val="CommentText"/>
      </w:pPr>
      <w:r>
        <w:rPr>
          <w:rStyle w:val="CommentReference"/>
        </w:rPr>
        <w:annotationRef/>
      </w:r>
      <w:r>
        <w:t xml:space="preserve">How is this different to “Collecting, analysing, interpreting and documenting research findings to produce written reports of excellent quality.” above?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CA0AF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9EBB30" w16cex:dateUtc="2025-07-30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CA0AFF" w16cid:durableId="469EBB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C762B" w14:textId="77777777" w:rsidR="007B64EB" w:rsidRDefault="007B64EB" w:rsidP="00FA57B0">
      <w:pPr>
        <w:spacing w:after="0" w:line="240" w:lineRule="auto"/>
      </w:pPr>
      <w:r>
        <w:separator/>
      </w:r>
    </w:p>
  </w:endnote>
  <w:endnote w:type="continuationSeparator" w:id="0">
    <w:p w14:paraId="4B69A19A" w14:textId="77777777" w:rsidR="007B64EB" w:rsidRDefault="007B64EB" w:rsidP="00FA5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elle SB">
    <w:altName w:val="Calibri"/>
    <w:panose1 w:val="00000000000000000000"/>
    <w:charset w:val="00"/>
    <w:family w:val="modern"/>
    <w:notTrueType/>
    <w:pitch w:val="variable"/>
    <w:sig w:usb0="80000087" w:usb1="0000004B" w:usb2="00000000" w:usb3="00000000" w:csb0="00000083" w:csb1="00000000"/>
  </w:font>
  <w:font w:name="Adelle Rg">
    <w:panose1 w:val="02000503060000020004"/>
    <w:charset w:val="00"/>
    <w:family w:val="modern"/>
    <w:notTrueType/>
    <w:pitch w:val="variable"/>
    <w:sig w:usb0="80000087" w:usb1="0000004B" w:usb2="00000000" w:usb3="00000000" w:csb0="0000008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27E6" w14:textId="0BAA237D" w:rsidR="0010605C" w:rsidRDefault="0010605C">
    <w:pPr>
      <w:pStyle w:val="Footer"/>
    </w:pPr>
    <w:r>
      <w:rPr>
        <w:noProof/>
      </w:rPr>
      <w:drawing>
        <wp:anchor distT="0" distB="0" distL="114300" distR="114300" simplePos="0" relativeHeight="251663360" behindDoc="0" locked="0" layoutInCell="1" allowOverlap="1" wp14:anchorId="19202789" wp14:editId="6DC67DA7">
          <wp:simplePos x="0" y="0"/>
          <wp:positionH relativeFrom="page">
            <wp:align>left</wp:align>
          </wp:positionH>
          <wp:positionV relativeFrom="paragraph">
            <wp:posOffset>-1650270</wp:posOffset>
          </wp:positionV>
          <wp:extent cx="7612159" cy="1813522"/>
          <wp:effectExtent l="0" t="0" r="0" b="0"/>
          <wp:wrapNone/>
          <wp:docPr id="1498926337" name="Picture 4" descr="A blu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26337" name="Picture 4" descr="A blue logo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12159" cy="18135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450E5" w14:textId="77777777" w:rsidR="007B64EB" w:rsidRDefault="007B64EB" w:rsidP="00FA57B0">
      <w:pPr>
        <w:spacing w:after="0" w:line="240" w:lineRule="auto"/>
      </w:pPr>
      <w:r>
        <w:separator/>
      </w:r>
    </w:p>
  </w:footnote>
  <w:footnote w:type="continuationSeparator" w:id="0">
    <w:p w14:paraId="1FB025D1" w14:textId="77777777" w:rsidR="007B64EB" w:rsidRDefault="007B64EB" w:rsidP="00FA5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07DE" w14:textId="4A50E9C3" w:rsidR="0010605C" w:rsidRDefault="0010605C">
    <w:pPr>
      <w:pStyle w:val="Header"/>
      <w:rPr>
        <w:noProof/>
      </w:rPr>
    </w:pPr>
    <w:r>
      <w:rPr>
        <w:noProof/>
      </w:rPr>
      <w:drawing>
        <wp:anchor distT="0" distB="0" distL="114300" distR="114300" simplePos="0" relativeHeight="251662336" behindDoc="0" locked="0" layoutInCell="1" allowOverlap="1" wp14:anchorId="06631B80" wp14:editId="5AD0DC8C">
          <wp:simplePos x="0" y="0"/>
          <wp:positionH relativeFrom="margin">
            <wp:align>center</wp:align>
          </wp:positionH>
          <wp:positionV relativeFrom="paragraph">
            <wp:posOffset>-451258</wp:posOffset>
          </wp:positionV>
          <wp:extent cx="7692659" cy="1501254"/>
          <wp:effectExtent l="0" t="0" r="3810" b="3810"/>
          <wp:wrapNone/>
          <wp:docPr id="2143292058" name="Picture 2"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92058" name="Picture 2" descr="A white background with black and white cloud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92659" cy="1501254"/>
                  </a:xfrm>
                  <a:prstGeom prst="rect">
                    <a:avLst/>
                  </a:prstGeom>
                </pic:spPr>
              </pic:pic>
            </a:graphicData>
          </a:graphic>
          <wp14:sizeRelH relativeFrom="margin">
            <wp14:pctWidth>0</wp14:pctWidth>
          </wp14:sizeRelH>
          <wp14:sizeRelV relativeFrom="margin">
            <wp14:pctHeight>0</wp14:pctHeight>
          </wp14:sizeRelV>
        </wp:anchor>
      </w:drawing>
    </w:r>
  </w:p>
  <w:p w14:paraId="0D31E4A3" w14:textId="15245D1F" w:rsidR="0010605C" w:rsidRDefault="0010605C">
    <w:pPr>
      <w:pStyle w:val="Header"/>
      <w:rPr>
        <w:noProof/>
      </w:rPr>
    </w:pPr>
  </w:p>
  <w:p w14:paraId="46D5C821" w14:textId="77777777" w:rsidR="0010605C" w:rsidRDefault="0010605C">
    <w:pPr>
      <w:pStyle w:val="Header"/>
      <w:rPr>
        <w:noProof/>
      </w:rPr>
    </w:pPr>
  </w:p>
  <w:p w14:paraId="3FC5D7FF" w14:textId="77777777" w:rsidR="0010605C" w:rsidRDefault="0010605C">
    <w:pPr>
      <w:pStyle w:val="Header"/>
      <w:rPr>
        <w:noProof/>
      </w:rPr>
    </w:pPr>
  </w:p>
  <w:p w14:paraId="1D9DE7AA" w14:textId="77777777" w:rsidR="0010605C" w:rsidRDefault="0010605C">
    <w:pPr>
      <w:pStyle w:val="Header"/>
      <w:rPr>
        <w:noProof/>
      </w:rPr>
    </w:pPr>
  </w:p>
  <w:p w14:paraId="53916027" w14:textId="77777777" w:rsidR="0010605C" w:rsidRDefault="0010605C">
    <w:pPr>
      <w:pStyle w:val="Header"/>
      <w:rPr>
        <w:noProof/>
      </w:rPr>
    </w:pPr>
  </w:p>
  <w:p w14:paraId="6AFDBCEF" w14:textId="5B544110" w:rsidR="0010605C" w:rsidRDefault="00106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2E09"/>
    <w:multiLevelType w:val="multilevel"/>
    <w:tmpl w:val="8B52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32589"/>
    <w:multiLevelType w:val="hybridMultilevel"/>
    <w:tmpl w:val="19E818A6"/>
    <w:lvl w:ilvl="0" w:tplc="085030A0">
      <w:start w:val="1"/>
      <w:numFmt w:val="bullet"/>
      <w:pStyle w:val="Bulletedlis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F615C2"/>
    <w:multiLevelType w:val="hybridMultilevel"/>
    <w:tmpl w:val="BC84AB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9934EC3"/>
    <w:multiLevelType w:val="hybridMultilevel"/>
    <w:tmpl w:val="B486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5949DA"/>
    <w:multiLevelType w:val="multilevel"/>
    <w:tmpl w:val="E4D2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CC28C6"/>
    <w:multiLevelType w:val="hybridMultilevel"/>
    <w:tmpl w:val="D7824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E7B0876"/>
    <w:multiLevelType w:val="hybridMultilevel"/>
    <w:tmpl w:val="EB2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EBC34F5"/>
    <w:multiLevelType w:val="hybridMultilevel"/>
    <w:tmpl w:val="B75C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DE4FCC"/>
    <w:multiLevelType w:val="multilevel"/>
    <w:tmpl w:val="330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143F7E"/>
    <w:multiLevelType w:val="multilevel"/>
    <w:tmpl w:val="F984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560148">
    <w:abstractNumId w:val="1"/>
  </w:num>
  <w:num w:numId="2" w16cid:durableId="938681067">
    <w:abstractNumId w:val="6"/>
  </w:num>
  <w:num w:numId="3" w16cid:durableId="551160777">
    <w:abstractNumId w:val="5"/>
  </w:num>
  <w:num w:numId="4" w16cid:durableId="1522738085">
    <w:abstractNumId w:val="2"/>
  </w:num>
  <w:num w:numId="5" w16cid:durableId="537399331">
    <w:abstractNumId w:val="7"/>
  </w:num>
  <w:num w:numId="6" w16cid:durableId="14113050">
    <w:abstractNumId w:val="4"/>
  </w:num>
  <w:num w:numId="7" w16cid:durableId="1610428050">
    <w:abstractNumId w:val="8"/>
  </w:num>
  <w:num w:numId="8" w16cid:durableId="1644306214">
    <w:abstractNumId w:val="9"/>
  </w:num>
  <w:num w:numId="9" w16cid:durableId="1047022477">
    <w:abstractNumId w:val="0"/>
  </w:num>
  <w:num w:numId="10" w16cid:durableId="204585858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 Perthen">
    <w15:presenceInfo w15:providerId="AD" w15:userId="S::lauren.perthen@ywt.org.uk::0c3c362d-8aa4-4afe-bbcf-f59934eb4a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BCB02"/>
  <w15:chartTrackingRefBased/>
  <w15:docId w15:val="{7FE70F2B-7787-43C3-8512-942C3268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7C0"/>
  </w:style>
  <w:style w:type="paragraph" w:styleId="Heading1">
    <w:name w:val="heading 1"/>
    <w:basedOn w:val="Normal"/>
    <w:next w:val="Normal"/>
    <w:link w:val="Heading1Char"/>
    <w:uiPriority w:val="9"/>
    <w:qFormat/>
    <w:rsid w:val="00F117C0"/>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F117C0"/>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7C0"/>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7C0"/>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F117C0"/>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F117C0"/>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F117C0"/>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F117C0"/>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F117C0"/>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7C0"/>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F11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7C0"/>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7C0"/>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F117C0"/>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F117C0"/>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F117C0"/>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F117C0"/>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F117C0"/>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F117C0"/>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F117C0"/>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F117C0"/>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F117C0"/>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F117C0"/>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F117C0"/>
    <w:rPr>
      <w:color w:val="0E2841" w:themeColor="text2"/>
      <w:sz w:val="24"/>
      <w:szCs w:val="24"/>
    </w:rPr>
  </w:style>
  <w:style w:type="paragraph" w:styleId="ListParagraph">
    <w:name w:val="List Paragraph"/>
    <w:basedOn w:val="Normal"/>
    <w:uiPriority w:val="34"/>
    <w:qFormat/>
    <w:rsid w:val="00F117C0"/>
    <w:pPr>
      <w:ind w:left="720"/>
      <w:contextualSpacing/>
    </w:pPr>
  </w:style>
  <w:style w:type="character" w:styleId="IntenseEmphasis">
    <w:name w:val="Intense Emphasis"/>
    <w:basedOn w:val="DefaultParagraphFont"/>
    <w:uiPriority w:val="21"/>
    <w:qFormat/>
    <w:rsid w:val="00F117C0"/>
    <w:rPr>
      <w:b/>
      <w:bCs/>
      <w:i/>
      <w:iCs/>
    </w:rPr>
  </w:style>
  <w:style w:type="paragraph" w:styleId="IntenseQuote">
    <w:name w:val="Intense Quote"/>
    <w:basedOn w:val="Normal"/>
    <w:next w:val="Normal"/>
    <w:link w:val="IntenseQuoteChar"/>
    <w:uiPriority w:val="30"/>
    <w:qFormat/>
    <w:rsid w:val="00F117C0"/>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F117C0"/>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F117C0"/>
    <w:rPr>
      <w:b/>
      <w:bCs/>
      <w:smallCaps/>
      <w:color w:val="0E2841" w:themeColor="text2"/>
      <w:u w:val="single"/>
    </w:rPr>
  </w:style>
  <w:style w:type="paragraph" w:styleId="Caption">
    <w:name w:val="caption"/>
    <w:basedOn w:val="Normal"/>
    <w:next w:val="Normal"/>
    <w:uiPriority w:val="35"/>
    <w:semiHidden/>
    <w:unhideWhenUsed/>
    <w:qFormat/>
    <w:rsid w:val="00F117C0"/>
    <w:pPr>
      <w:spacing w:line="240" w:lineRule="auto"/>
    </w:pPr>
    <w:rPr>
      <w:b/>
      <w:bCs/>
      <w:smallCaps/>
      <w:color w:val="0E2841" w:themeColor="text2"/>
    </w:rPr>
  </w:style>
  <w:style w:type="character" w:styleId="Strong">
    <w:name w:val="Strong"/>
    <w:basedOn w:val="DefaultParagraphFont"/>
    <w:uiPriority w:val="22"/>
    <w:qFormat/>
    <w:rsid w:val="00F117C0"/>
    <w:rPr>
      <w:b/>
      <w:bCs/>
    </w:rPr>
  </w:style>
  <w:style w:type="character" w:styleId="Emphasis">
    <w:name w:val="Emphasis"/>
    <w:basedOn w:val="DefaultParagraphFont"/>
    <w:uiPriority w:val="20"/>
    <w:qFormat/>
    <w:rsid w:val="00F117C0"/>
    <w:rPr>
      <w:i/>
      <w:iCs/>
    </w:rPr>
  </w:style>
  <w:style w:type="paragraph" w:styleId="NoSpacing">
    <w:name w:val="No Spacing"/>
    <w:link w:val="NoSpacingChar"/>
    <w:uiPriority w:val="1"/>
    <w:qFormat/>
    <w:rsid w:val="00F117C0"/>
    <w:pPr>
      <w:spacing w:after="0" w:line="240" w:lineRule="auto"/>
    </w:pPr>
  </w:style>
  <w:style w:type="character" w:styleId="SubtleEmphasis">
    <w:name w:val="Subtle Emphasis"/>
    <w:basedOn w:val="DefaultParagraphFont"/>
    <w:uiPriority w:val="19"/>
    <w:qFormat/>
    <w:rsid w:val="00F117C0"/>
    <w:rPr>
      <w:i/>
      <w:iCs/>
      <w:color w:val="595959" w:themeColor="text1" w:themeTint="A6"/>
    </w:rPr>
  </w:style>
  <w:style w:type="character" w:styleId="SubtleReference">
    <w:name w:val="Subtle Reference"/>
    <w:basedOn w:val="DefaultParagraphFont"/>
    <w:uiPriority w:val="31"/>
    <w:qFormat/>
    <w:rsid w:val="00F117C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F117C0"/>
    <w:rPr>
      <w:b/>
      <w:bCs/>
      <w:smallCaps/>
      <w:spacing w:val="10"/>
    </w:rPr>
  </w:style>
  <w:style w:type="paragraph" w:styleId="TOCHeading">
    <w:name w:val="TOC Heading"/>
    <w:basedOn w:val="Heading1"/>
    <w:next w:val="Normal"/>
    <w:uiPriority w:val="39"/>
    <w:semiHidden/>
    <w:unhideWhenUsed/>
    <w:qFormat/>
    <w:rsid w:val="00F117C0"/>
    <w:pPr>
      <w:outlineLvl w:val="9"/>
    </w:pPr>
  </w:style>
  <w:style w:type="paragraph" w:customStyle="1" w:styleId="Docsubtitle16pt">
    <w:name w:val="Doc sub title 16pt"/>
    <w:basedOn w:val="Normal"/>
    <w:link w:val="Docsubtitle16ptChar"/>
    <w:qFormat/>
    <w:rsid w:val="00153754"/>
    <w:rPr>
      <w:rFonts w:ascii="Adelle SB" w:hAnsi="Adelle SB"/>
      <w:b/>
      <w:bCs/>
      <w:color w:val="008296"/>
      <w:sz w:val="36"/>
      <w:szCs w:val="40"/>
    </w:rPr>
  </w:style>
  <w:style w:type="character" w:customStyle="1" w:styleId="Docsubtitle16ptChar">
    <w:name w:val="Doc sub title 16pt Char"/>
    <w:basedOn w:val="DefaultParagraphFont"/>
    <w:link w:val="Docsubtitle16pt"/>
    <w:rsid w:val="00153754"/>
    <w:rPr>
      <w:rFonts w:ascii="Adelle SB" w:hAnsi="Adelle SB"/>
      <w:b/>
      <w:bCs/>
      <w:color w:val="008296"/>
      <w:sz w:val="36"/>
      <w:szCs w:val="40"/>
    </w:rPr>
  </w:style>
  <w:style w:type="paragraph" w:customStyle="1" w:styleId="Doctitle22pt">
    <w:name w:val="Doc title 22pt"/>
    <w:basedOn w:val="Docsubtitle16pt"/>
    <w:link w:val="Doctitle22ptChar"/>
    <w:rsid w:val="00F1102A"/>
    <w:rPr>
      <w:sz w:val="44"/>
      <w:szCs w:val="44"/>
    </w:rPr>
  </w:style>
  <w:style w:type="character" w:customStyle="1" w:styleId="Doctitle22ptChar">
    <w:name w:val="Doc title 22pt Char"/>
    <w:basedOn w:val="Docsubtitle16ptChar"/>
    <w:link w:val="Doctitle22pt"/>
    <w:rsid w:val="00F1102A"/>
    <w:rPr>
      <w:rFonts w:ascii="Adelle SB" w:hAnsi="Adelle SB"/>
      <w:b/>
      <w:bCs/>
      <w:color w:val="008296"/>
      <w:sz w:val="44"/>
      <w:szCs w:val="44"/>
    </w:rPr>
  </w:style>
  <w:style w:type="paragraph" w:customStyle="1" w:styleId="Docsub-title">
    <w:name w:val="Doc sub-title"/>
    <w:basedOn w:val="Normal"/>
    <w:link w:val="Docsub-titleChar"/>
    <w:qFormat/>
    <w:rsid w:val="000747D2"/>
    <w:rPr>
      <w:rFonts w:ascii="Adelle Rg" w:hAnsi="Adelle Rg"/>
      <w:color w:val="008296"/>
      <w:sz w:val="28"/>
      <w:szCs w:val="32"/>
    </w:rPr>
  </w:style>
  <w:style w:type="character" w:customStyle="1" w:styleId="Docsub-titleChar">
    <w:name w:val="Doc sub-title Char"/>
    <w:basedOn w:val="DefaultParagraphFont"/>
    <w:link w:val="Docsub-title"/>
    <w:rsid w:val="000747D2"/>
    <w:rPr>
      <w:rFonts w:ascii="Adelle Rg" w:hAnsi="Adelle Rg"/>
      <w:color w:val="008296"/>
      <w:sz w:val="28"/>
      <w:szCs w:val="32"/>
    </w:rPr>
  </w:style>
  <w:style w:type="paragraph" w:customStyle="1" w:styleId="Docbodycopy">
    <w:name w:val="Doc body copy"/>
    <w:basedOn w:val="Normal"/>
    <w:link w:val="DocbodycopyChar"/>
    <w:qFormat/>
    <w:rsid w:val="00F1102A"/>
    <w:rPr>
      <w:rFonts w:ascii="Calibri" w:hAnsi="Calibri" w:cs="Calibri"/>
      <w:sz w:val="24"/>
      <w:szCs w:val="24"/>
    </w:rPr>
  </w:style>
  <w:style w:type="character" w:customStyle="1" w:styleId="DocbodycopyChar">
    <w:name w:val="Doc body copy Char"/>
    <w:basedOn w:val="DefaultParagraphFont"/>
    <w:link w:val="Docbodycopy"/>
    <w:rsid w:val="00F1102A"/>
    <w:rPr>
      <w:rFonts w:ascii="Calibri" w:hAnsi="Calibri" w:cs="Calibri"/>
      <w:sz w:val="24"/>
      <w:szCs w:val="24"/>
    </w:rPr>
  </w:style>
  <w:style w:type="paragraph" w:customStyle="1" w:styleId="Docsub-title14pt">
    <w:name w:val="Doc sub-title 14pt"/>
    <w:basedOn w:val="Docsub-title"/>
    <w:link w:val="Docsub-title14ptChar"/>
    <w:qFormat/>
    <w:rsid w:val="00F1102A"/>
    <w:rPr>
      <w:szCs w:val="28"/>
    </w:rPr>
  </w:style>
  <w:style w:type="character" w:customStyle="1" w:styleId="Docsub-title14ptChar">
    <w:name w:val="Doc sub-title 14pt Char"/>
    <w:basedOn w:val="Docsub-titleChar"/>
    <w:link w:val="Docsub-title14pt"/>
    <w:rsid w:val="00F1102A"/>
    <w:rPr>
      <w:rFonts w:ascii="Adelle Rg" w:hAnsi="Adelle Rg"/>
      <w:color w:val="008296"/>
      <w:sz w:val="28"/>
      <w:szCs w:val="28"/>
    </w:rPr>
  </w:style>
  <w:style w:type="paragraph" w:styleId="Header">
    <w:name w:val="header"/>
    <w:basedOn w:val="Normal"/>
    <w:link w:val="HeaderChar"/>
    <w:uiPriority w:val="99"/>
    <w:unhideWhenUsed/>
    <w:rsid w:val="00FA5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7B0"/>
  </w:style>
  <w:style w:type="paragraph" w:styleId="Footer">
    <w:name w:val="footer"/>
    <w:basedOn w:val="Normal"/>
    <w:link w:val="FooterChar"/>
    <w:uiPriority w:val="99"/>
    <w:unhideWhenUsed/>
    <w:rsid w:val="00FA5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7B0"/>
  </w:style>
  <w:style w:type="character" w:customStyle="1" w:styleId="NoSpacingChar">
    <w:name w:val="No Spacing Char"/>
    <w:basedOn w:val="DefaultParagraphFont"/>
    <w:link w:val="NoSpacing"/>
    <w:uiPriority w:val="1"/>
    <w:rsid w:val="006B2DAB"/>
  </w:style>
  <w:style w:type="table" w:styleId="TableGrid">
    <w:name w:val="Table Grid"/>
    <w:basedOn w:val="TableNormal"/>
    <w:uiPriority w:val="39"/>
    <w:rsid w:val="00E5219C"/>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
    <w:name w:val="Bulleted list"/>
    <w:basedOn w:val="Normal"/>
    <w:qFormat/>
    <w:rsid w:val="00153754"/>
    <w:pPr>
      <w:numPr>
        <w:numId w:val="1"/>
      </w:numPr>
      <w:spacing w:before="240" w:after="0" w:line="240" w:lineRule="auto"/>
    </w:pPr>
    <w:rPr>
      <w:rFonts w:ascii="Calibri" w:eastAsia="Times New Roman" w:hAnsi="Calibri" w:cs="Calibri"/>
      <w:lang w:eastAsia="en-GB"/>
    </w:rPr>
  </w:style>
  <w:style w:type="paragraph" w:customStyle="1" w:styleId="pf0">
    <w:name w:val="pf0"/>
    <w:basedOn w:val="Normal"/>
    <w:rsid w:val="00A125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1255C"/>
    <w:rPr>
      <w:rFonts w:ascii="Segoe UI" w:hAnsi="Segoe UI" w:cs="Segoe UI" w:hint="default"/>
      <w:sz w:val="18"/>
      <w:szCs w:val="18"/>
    </w:rPr>
  </w:style>
  <w:style w:type="character" w:styleId="CommentReference">
    <w:name w:val="annotation reference"/>
    <w:semiHidden/>
    <w:rsid w:val="00F638E7"/>
    <w:rPr>
      <w:sz w:val="16"/>
      <w:szCs w:val="16"/>
    </w:rPr>
  </w:style>
  <w:style w:type="paragraph" w:styleId="CommentText">
    <w:name w:val="annotation text"/>
    <w:basedOn w:val="Normal"/>
    <w:link w:val="CommentTextChar"/>
    <w:semiHidden/>
    <w:rsid w:val="00F638E7"/>
    <w:pPr>
      <w:spacing w:before="240" w:after="0" w:line="240" w:lineRule="auto"/>
    </w:pPr>
    <w:rPr>
      <w:rFonts w:ascii="Calibri" w:eastAsia="Times New Roman" w:hAnsi="Calibri" w:cs="Calibri"/>
      <w:sz w:val="20"/>
      <w:lang w:eastAsia="en-GB"/>
    </w:rPr>
  </w:style>
  <w:style w:type="character" w:customStyle="1" w:styleId="CommentTextChar">
    <w:name w:val="Comment Text Char"/>
    <w:basedOn w:val="DefaultParagraphFont"/>
    <w:link w:val="CommentText"/>
    <w:semiHidden/>
    <w:rsid w:val="00F638E7"/>
    <w:rPr>
      <w:rFonts w:ascii="Calibri" w:eastAsia="Times New Roman" w:hAnsi="Calibri" w:cs="Calibri"/>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microsoft.com/office/2018/08/relationships/commentsExtensible" Target="commentsExtensible.xml" Id="rId12" /><Relationship Type="http://schemas.openxmlformats.org/officeDocument/2006/relationships/theme" Target="theme/theme1.xml" Id="rId1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footnotes" Target="footnotes.xml" Id="rId6" /><Relationship Type="http://schemas.microsoft.com/office/2016/09/relationships/commentsIds" Target="commentsIds.xml" Id="rId11" /><Relationship Type="http://schemas.openxmlformats.org/officeDocument/2006/relationships/webSettings" Target="web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ettings" Target="settings.xml" Id="rId4" /><Relationship Type="http://schemas.openxmlformats.org/officeDocument/2006/relationships/comments" Target="comment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