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9E304" w14:textId="77777777" w:rsidR="00B036AD" w:rsidRDefault="00B036A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27"/>
        <w:gridCol w:w="4872"/>
        <w:gridCol w:w="1985"/>
        <w:gridCol w:w="5164"/>
      </w:tblGrid>
      <w:tr w:rsidR="00955C3A" w14:paraId="4C50BEA6" w14:textId="77777777" w:rsidTr="00365C67">
        <w:tc>
          <w:tcPr>
            <w:tcW w:w="1927" w:type="dxa"/>
            <w:shd w:val="clear" w:color="auto" w:fill="D4BCF5" w:themeFill="accent1" w:themeFillTint="33"/>
          </w:tcPr>
          <w:p w14:paraId="7810568A" w14:textId="77777777" w:rsidR="00955C3A" w:rsidRPr="00E36F55" w:rsidRDefault="00955C3A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>Role</w:t>
            </w:r>
          </w:p>
        </w:tc>
        <w:tc>
          <w:tcPr>
            <w:tcW w:w="4872" w:type="dxa"/>
            <w:shd w:val="clear" w:color="auto" w:fill="D4BCF5" w:themeFill="accent1" w:themeFillTint="33"/>
          </w:tcPr>
          <w:p w14:paraId="4C6886EF" w14:textId="53388902" w:rsidR="00955C3A" w:rsidRPr="00E36F55" w:rsidRDefault="00272969" w:rsidP="00460F5B">
            <w:pPr>
              <w:rPr>
                <w:rFonts w:ascii="Oxygen" w:hAnsi="Oxygen"/>
              </w:rPr>
            </w:pPr>
            <w:r w:rsidRPr="00E36F55">
              <w:rPr>
                <w:rFonts w:ascii="Oxygen" w:hAnsi="Oxygen"/>
              </w:rPr>
              <w:t>Service</w:t>
            </w:r>
            <w:r w:rsidR="00460F5B" w:rsidRPr="00E36F55">
              <w:rPr>
                <w:rFonts w:ascii="Oxygen" w:hAnsi="Oxygen"/>
              </w:rPr>
              <w:t xml:space="preserve"> Delivery</w:t>
            </w:r>
            <w:r w:rsidRPr="00E36F55">
              <w:rPr>
                <w:rFonts w:ascii="Oxygen" w:hAnsi="Oxygen"/>
              </w:rPr>
              <w:t xml:space="preserve"> Coach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D4BCF5" w:themeFill="accent1" w:themeFillTint="33"/>
          </w:tcPr>
          <w:p w14:paraId="20574638" w14:textId="77777777" w:rsidR="00955C3A" w:rsidRPr="00E36F55" w:rsidRDefault="00955C3A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 xml:space="preserve">Location </w:t>
            </w:r>
          </w:p>
        </w:tc>
        <w:tc>
          <w:tcPr>
            <w:tcW w:w="5164" w:type="dxa"/>
            <w:shd w:val="clear" w:color="auto" w:fill="D4BCF5" w:themeFill="accent1" w:themeFillTint="33"/>
          </w:tcPr>
          <w:p w14:paraId="0D802F3D" w14:textId="17D901FA" w:rsidR="00955C3A" w:rsidRPr="00955C3A" w:rsidRDefault="00955C3A" w:rsidP="00F3602C">
            <w:pPr>
              <w:rPr>
                <w:rFonts w:ascii="Oxygen" w:hAnsi="Oxygen"/>
              </w:rPr>
            </w:pPr>
            <w:r>
              <w:rPr>
                <w:rFonts w:ascii="Oxygen" w:hAnsi="Oxygen"/>
              </w:rPr>
              <w:t>Home</w:t>
            </w:r>
            <w:r w:rsidR="00D86024">
              <w:rPr>
                <w:rFonts w:ascii="Oxygen" w:hAnsi="Oxygen"/>
              </w:rPr>
              <w:t>-</w:t>
            </w:r>
            <w:r>
              <w:rPr>
                <w:rFonts w:ascii="Oxygen" w:hAnsi="Oxygen"/>
              </w:rPr>
              <w:t>Based</w:t>
            </w:r>
            <w:r w:rsidR="00E36F55">
              <w:rPr>
                <w:rFonts w:ascii="Oxygen" w:hAnsi="Oxygen"/>
              </w:rPr>
              <w:t xml:space="preserve"> </w:t>
            </w:r>
            <w:r w:rsidR="0012702A">
              <w:rPr>
                <w:rFonts w:ascii="Oxygen" w:hAnsi="Oxygen"/>
              </w:rPr>
              <w:t>North West England</w:t>
            </w:r>
            <w:r w:rsidR="00D86024" w:rsidRPr="00D86024">
              <w:rPr>
                <w:rFonts w:ascii="Oxygen" w:hAnsi="Oxygen"/>
              </w:rPr>
              <w:t xml:space="preserve"> with extensive travel across the service areas </w:t>
            </w:r>
            <w:r w:rsidR="00747E28">
              <w:rPr>
                <w:rFonts w:ascii="Oxygen" w:hAnsi="Oxygen"/>
              </w:rPr>
              <w:t>and wider Locality</w:t>
            </w:r>
          </w:p>
        </w:tc>
      </w:tr>
      <w:tr w:rsidR="00955C3A" w14:paraId="493824CD" w14:textId="77777777" w:rsidTr="00365C67">
        <w:tc>
          <w:tcPr>
            <w:tcW w:w="1927" w:type="dxa"/>
          </w:tcPr>
          <w:p w14:paraId="781E409A" w14:textId="77777777" w:rsidR="00955C3A" w:rsidRPr="00E36F55" w:rsidRDefault="00955C3A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>Accountable for</w:t>
            </w:r>
          </w:p>
        </w:tc>
        <w:tc>
          <w:tcPr>
            <w:tcW w:w="4872" w:type="dxa"/>
          </w:tcPr>
          <w:p w14:paraId="7004CF28" w14:textId="2B8F6E17" w:rsidR="00955C3A" w:rsidRPr="00955C3A" w:rsidRDefault="00955C3A" w:rsidP="00955C3A">
            <w:pPr>
              <w:rPr>
                <w:rFonts w:ascii="Oxygen" w:hAnsi="Oxygen"/>
              </w:rPr>
            </w:pPr>
            <w:r>
              <w:rPr>
                <w:rFonts w:ascii="Oxygen" w:hAnsi="Oxygen"/>
              </w:rPr>
              <w:t xml:space="preserve">Stroke </w:t>
            </w:r>
            <w:r w:rsidR="00365C67">
              <w:rPr>
                <w:rFonts w:ascii="Oxygen" w:hAnsi="Oxygen"/>
              </w:rPr>
              <w:t xml:space="preserve">Association </w:t>
            </w:r>
            <w:r>
              <w:rPr>
                <w:rFonts w:ascii="Oxygen" w:hAnsi="Oxygen"/>
              </w:rPr>
              <w:t>Support Coordinators</w:t>
            </w:r>
          </w:p>
        </w:tc>
        <w:tc>
          <w:tcPr>
            <w:tcW w:w="1985" w:type="dxa"/>
          </w:tcPr>
          <w:p w14:paraId="0A4427C2" w14:textId="77777777" w:rsidR="00955C3A" w:rsidRPr="00E36F55" w:rsidRDefault="00955C3A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>Accountable to</w:t>
            </w:r>
          </w:p>
        </w:tc>
        <w:tc>
          <w:tcPr>
            <w:tcW w:w="5164" w:type="dxa"/>
          </w:tcPr>
          <w:p w14:paraId="3D688976" w14:textId="3F82A0AC" w:rsidR="00955C3A" w:rsidRPr="00955C3A" w:rsidRDefault="00955C3A" w:rsidP="00955C3A">
            <w:pPr>
              <w:rPr>
                <w:rFonts w:ascii="Oxygen" w:hAnsi="Oxygen"/>
              </w:rPr>
            </w:pPr>
            <w:r w:rsidRPr="7EF24CD8">
              <w:rPr>
                <w:rFonts w:ascii="Oxygen" w:hAnsi="Oxygen"/>
              </w:rPr>
              <w:t>Service Delivery</w:t>
            </w:r>
            <w:r w:rsidR="59EFF383" w:rsidRPr="7EF24CD8">
              <w:rPr>
                <w:rFonts w:ascii="Oxygen" w:hAnsi="Oxygen"/>
              </w:rPr>
              <w:t xml:space="preserve"> Lead</w:t>
            </w:r>
            <w:r w:rsidRPr="7EF24CD8">
              <w:rPr>
                <w:rFonts w:ascii="Oxygen" w:hAnsi="Oxygen"/>
              </w:rPr>
              <w:t xml:space="preserve"> </w:t>
            </w:r>
          </w:p>
        </w:tc>
      </w:tr>
      <w:tr w:rsidR="00955C3A" w14:paraId="3E27626B" w14:textId="77777777" w:rsidTr="00365C67">
        <w:tc>
          <w:tcPr>
            <w:tcW w:w="1927" w:type="dxa"/>
          </w:tcPr>
          <w:p w14:paraId="13E2DFB6" w14:textId="77777777" w:rsidR="00955C3A" w:rsidRPr="00E36F55" w:rsidRDefault="00955C3A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>Core Anchor Level</w:t>
            </w:r>
          </w:p>
        </w:tc>
        <w:tc>
          <w:tcPr>
            <w:tcW w:w="4872" w:type="dxa"/>
          </w:tcPr>
          <w:p w14:paraId="6FB3809D" w14:textId="77777777" w:rsidR="00955C3A" w:rsidRPr="00955C3A" w:rsidRDefault="00955C3A" w:rsidP="00955C3A">
            <w:pPr>
              <w:rPr>
                <w:rFonts w:ascii="Oxygen" w:hAnsi="Oxygen"/>
              </w:rPr>
            </w:pPr>
            <w:r>
              <w:rPr>
                <w:rFonts w:ascii="Oxygen" w:hAnsi="Oxygen"/>
              </w:rPr>
              <w:t>Support</w:t>
            </w:r>
          </w:p>
        </w:tc>
        <w:tc>
          <w:tcPr>
            <w:tcW w:w="1985" w:type="dxa"/>
          </w:tcPr>
          <w:p w14:paraId="5067AF24" w14:textId="77777777" w:rsidR="00955C3A" w:rsidRPr="00E36F55" w:rsidRDefault="00955C3A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>Travel</w:t>
            </w:r>
          </w:p>
        </w:tc>
        <w:tc>
          <w:tcPr>
            <w:tcW w:w="5164" w:type="dxa"/>
          </w:tcPr>
          <w:p w14:paraId="5E38ACD4" w14:textId="656BA19F" w:rsidR="00955C3A" w:rsidRPr="00955C3A" w:rsidRDefault="00F3602C" w:rsidP="00F3602C">
            <w:pPr>
              <w:rPr>
                <w:rFonts w:ascii="Oxygen" w:hAnsi="Oxygen"/>
              </w:rPr>
            </w:pPr>
            <w:r>
              <w:rPr>
                <w:rFonts w:ascii="Oxygen" w:hAnsi="Oxygen"/>
              </w:rPr>
              <w:t>Regular</w:t>
            </w:r>
            <w:r w:rsidRPr="00FC5FB6">
              <w:rPr>
                <w:rFonts w:ascii="Oxygen" w:hAnsi="Oxygen"/>
              </w:rPr>
              <w:t xml:space="preserve"> travel </w:t>
            </w:r>
            <w:r>
              <w:rPr>
                <w:rFonts w:ascii="Oxygen" w:hAnsi="Oxygen"/>
              </w:rPr>
              <w:t xml:space="preserve">within </w:t>
            </w:r>
            <w:r w:rsidRPr="00FC5FB6">
              <w:rPr>
                <w:rFonts w:ascii="Oxygen" w:hAnsi="Oxygen"/>
              </w:rPr>
              <w:t xml:space="preserve">the service </w:t>
            </w:r>
            <w:r>
              <w:rPr>
                <w:rFonts w:ascii="Oxygen" w:hAnsi="Oxygen"/>
              </w:rPr>
              <w:t xml:space="preserve">areas and </w:t>
            </w:r>
            <w:r w:rsidR="00E36F55">
              <w:rPr>
                <w:rFonts w:ascii="Oxygen" w:hAnsi="Oxygen"/>
              </w:rPr>
              <w:t xml:space="preserve">further afield </w:t>
            </w:r>
            <w:r w:rsidR="00955C3A" w:rsidRPr="6484D402">
              <w:rPr>
                <w:rFonts w:ascii="Oxygen" w:hAnsi="Oxygen"/>
              </w:rPr>
              <w:t xml:space="preserve">to </w:t>
            </w:r>
            <w:r w:rsidR="00B036AD">
              <w:rPr>
                <w:rFonts w:ascii="Oxygen" w:hAnsi="Oxygen"/>
              </w:rPr>
              <w:t>collaborate with colleagues in Locality I</w:t>
            </w:r>
            <w:r w:rsidR="00955C3A" w:rsidRPr="6484D402">
              <w:rPr>
                <w:rFonts w:ascii="Oxygen" w:hAnsi="Oxygen"/>
              </w:rPr>
              <w:t>mpact and other directorates will be essential</w:t>
            </w:r>
          </w:p>
        </w:tc>
      </w:tr>
      <w:tr w:rsidR="00955C3A" w:rsidRPr="00056CF0" w14:paraId="487EA6AB" w14:textId="77777777" w:rsidTr="00365C67">
        <w:tc>
          <w:tcPr>
            <w:tcW w:w="1927" w:type="dxa"/>
          </w:tcPr>
          <w:p w14:paraId="3ABD7908" w14:textId="77777777" w:rsidR="00955C3A" w:rsidRPr="00E36F55" w:rsidRDefault="00955C3A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>DBS Check</w:t>
            </w:r>
          </w:p>
        </w:tc>
        <w:tc>
          <w:tcPr>
            <w:tcW w:w="4872" w:type="dxa"/>
          </w:tcPr>
          <w:p w14:paraId="0A6EDC06" w14:textId="2997F030" w:rsidR="00955C3A" w:rsidRPr="00955C3A" w:rsidRDefault="001C627A" w:rsidP="00955C3A">
            <w:pPr>
              <w:rPr>
                <w:rFonts w:ascii="Oxygen" w:hAnsi="Oxygen"/>
              </w:rPr>
            </w:pPr>
            <w:r>
              <w:rPr>
                <w:rFonts w:ascii="Oxygen" w:hAnsi="Oxygen"/>
              </w:rPr>
              <w:t>Required</w:t>
            </w:r>
          </w:p>
        </w:tc>
        <w:tc>
          <w:tcPr>
            <w:tcW w:w="1985" w:type="dxa"/>
          </w:tcPr>
          <w:p w14:paraId="39731BAE" w14:textId="6507AA18" w:rsidR="00955C3A" w:rsidRPr="00E36F55" w:rsidRDefault="00955C3A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>Salary</w:t>
            </w:r>
            <w:r w:rsidR="00FC5FB6">
              <w:rPr>
                <w:rFonts w:ascii="Oxygen" w:hAnsi="Oxygen"/>
                <w:b/>
              </w:rPr>
              <w:t xml:space="preserve"> | Grade </w:t>
            </w:r>
          </w:p>
        </w:tc>
        <w:tc>
          <w:tcPr>
            <w:tcW w:w="5164" w:type="dxa"/>
          </w:tcPr>
          <w:p w14:paraId="73F47E29" w14:textId="28E5EB5E" w:rsidR="00955C3A" w:rsidRDefault="00E36F55" w:rsidP="00B036AD">
            <w:pPr>
              <w:rPr>
                <w:rFonts w:ascii="Oxygen" w:hAnsi="Oxygen"/>
                <w:lang w:val="it-IT"/>
              </w:rPr>
            </w:pPr>
            <w:r w:rsidRPr="00DE6DB9">
              <w:rPr>
                <w:rFonts w:ascii="Oxygen" w:hAnsi="Oxygen"/>
                <w:lang w:val="it-IT"/>
              </w:rPr>
              <w:t>C</w:t>
            </w:r>
            <w:r w:rsidR="00FC5FB6" w:rsidRPr="00DE6DB9">
              <w:rPr>
                <w:rFonts w:ascii="Oxygen" w:hAnsi="Oxygen"/>
                <w:lang w:val="it-IT"/>
              </w:rPr>
              <w:t xml:space="preserve">irca </w:t>
            </w:r>
            <w:r w:rsidR="00FC5FB6" w:rsidRPr="007604C5">
              <w:rPr>
                <w:rFonts w:ascii="Oxygen" w:hAnsi="Oxygen"/>
                <w:lang w:val="it-IT"/>
              </w:rPr>
              <w:t>£</w:t>
            </w:r>
            <w:r w:rsidR="0054335C">
              <w:rPr>
                <w:rFonts w:ascii="Oxygen" w:hAnsi="Oxygen"/>
                <w:lang w:val="it-IT"/>
              </w:rPr>
              <w:t>29,300</w:t>
            </w:r>
            <w:r w:rsidR="00FC5FB6" w:rsidRPr="00DE6DB9">
              <w:rPr>
                <w:rFonts w:ascii="Oxygen" w:hAnsi="Oxygen"/>
                <w:lang w:val="it-IT"/>
              </w:rPr>
              <w:t xml:space="preserve"> per annum | Grade E</w:t>
            </w:r>
          </w:p>
          <w:p w14:paraId="672A6659" w14:textId="2BEB516C" w:rsidR="00DE6DB9" w:rsidRPr="00DE6DB9" w:rsidRDefault="00DE6DB9" w:rsidP="00B036AD">
            <w:pPr>
              <w:rPr>
                <w:rFonts w:ascii="Oxygen" w:hAnsi="Oxygen"/>
                <w:lang w:val="it-IT"/>
              </w:rPr>
            </w:pPr>
          </w:p>
        </w:tc>
      </w:tr>
      <w:tr w:rsidR="00FC5FB6" w14:paraId="58AB9FB5" w14:textId="77777777" w:rsidTr="00365C67">
        <w:tc>
          <w:tcPr>
            <w:tcW w:w="1927" w:type="dxa"/>
          </w:tcPr>
          <w:p w14:paraId="604E67D2" w14:textId="075B70DE" w:rsidR="00FC5FB6" w:rsidRPr="00E36F55" w:rsidRDefault="00FC5FB6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 xml:space="preserve">Contract type </w:t>
            </w:r>
          </w:p>
        </w:tc>
        <w:tc>
          <w:tcPr>
            <w:tcW w:w="4872" w:type="dxa"/>
          </w:tcPr>
          <w:p w14:paraId="3AF1CC44" w14:textId="14F19402" w:rsidR="00FC5FB6" w:rsidRPr="00955C3A" w:rsidRDefault="00D86024" w:rsidP="00955C3A">
            <w:pPr>
              <w:rPr>
                <w:rFonts w:ascii="Oxygen" w:hAnsi="Oxygen"/>
              </w:rPr>
            </w:pPr>
            <w:r w:rsidRPr="00D86024">
              <w:rPr>
                <w:rFonts w:ascii="Oxygen" w:hAnsi="Oxygen"/>
              </w:rPr>
              <w:t xml:space="preserve">This is a </w:t>
            </w:r>
            <w:r w:rsidR="0054335C">
              <w:rPr>
                <w:rFonts w:ascii="Oxygen" w:hAnsi="Oxygen"/>
              </w:rPr>
              <w:t xml:space="preserve">fixed term </w:t>
            </w:r>
            <w:r w:rsidR="00B97A53">
              <w:rPr>
                <w:rFonts w:ascii="Oxygen" w:hAnsi="Oxygen"/>
              </w:rPr>
              <w:t xml:space="preserve">position </w:t>
            </w:r>
            <w:r w:rsidR="00B97A53" w:rsidRPr="00F71613">
              <w:rPr>
                <w:rFonts w:ascii="Oxygen" w:hAnsi="Oxygen"/>
              </w:rPr>
              <w:t xml:space="preserve">(starting </w:t>
            </w:r>
            <w:r w:rsidR="0054335C">
              <w:rPr>
                <w:rFonts w:ascii="Oxygen" w:hAnsi="Oxygen"/>
              </w:rPr>
              <w:t>September</w:t>
            </w:r>
            <w:r w:rsidR="00B97A53" w:rsidRPr="007604C5">
              <w:rPr>
                <w:rFonts w:ascii="Oxygen" w:hAnsi="Oxygen"/>
              </w:rPr>
              <w:t xml:space="preserve"> 2026</w:t>
            </w:r>
            <w:r w:rsidR="00B97A53" w:rsidRPr="00F71613">
              <w:rPr>
                <w:rFonts w:ascii="Oxygen" w:hAnsi="Oxygen"/>
              </w:rPr>
              <w:t>).</w:t>
            </w:r>
            <w:r w:rsidR="00FC5FB6">
              <w:rPr>
                <w:rFonts w:ascii="Oxygen" w:hAnsi="Oxygen"/>
              </w:rPr>
              <w:t xml:space="preserve"> </w:t>
            </w:r>
          </w:p>
        </w:tc>
        <w:tc>
          <w:tcPr>
            <w:tcW w:w="1985" w:type="dxa"/>
          </w:tcPr>
          <w:p w14:paraId="69361289" w14:textId="43F2F81C" w:rsidR="00FC5FB6" w:rsidRPr="00E36F55" w:rsidRDefault="00FC5FB6" w:rsidP="00955C3A">
            <w:pPr>
              <w:rPr>
                <w:rFonts w:ascii="Oxygen" w:hAnsi="Oxygen"/>
                <w:b/>
              </w:rPr>
            </w:pPr>
            <w:r w:rsidRPr="00E36F55">
              <w:rPr>
                <w:rFonts w:ascii="Oxygen" w:hAnsi="Oxygen"/>
                <w:b/>
              </w:rPr>
              <w:t>Hours per week</w:t>
            </w:r>
          </w:p>
        </w:tc>
        <w:tc>
          <w:tcPr>
            <w:tcW w:w="5164" w:type="dxa"/>
          </w:tcPr>
          <w:p w14:paraId="5C5FEB1F" w14:textId="0B6761EB" w:rsidR="00FC5FB6" w:rsidRPr="00955C3A" w:rsidRDefault="0054335C" w:rsidP="00955C3A">
            <w:pPr>
              <w:rPr>
                <w:rFonts w:ascii="Oxygen" w:hAnsi="Oxygen"/>
              </w:rPr>
            </w:pPr>
            <w:r>
              <w:rPr>
                <w:rFonts w:ascii="Oxygen" w:hAnsi="Oxygen"/>
              </w:rPr>
              <w:t>28</w:t>
            </w:r>
            <w:r w:rsidR="00FC5FB6">
              <w:rPr>
                <w:rFonts w:ascii="Oxygen" w:hAnsi="Oxygen"/>
              </w:rPr>
              <w:t xml:space="preserve"> </w:t>
            </w:r>
            <w:r w:rsidR="00D86024">
              <w:rPr>
                <w:rFonts w:ascii="Oxygen" w:hAnsi="Oxygen"/>
              </w:rPr>
              <w:t>hours per week</w:t>
            </w:r>
          </w:p>
        </w:tc>
      </w:tr>
    </w:tbl>
    <w:p w14:paraId="0A37501D" w14:textId="77777777" w:rsidR="00955C3A" w:rsidRDefault="00955C3A" w:rsidP="00955C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888"/>
      </w:tblGrid>
      <w:tr w:rsidR="00955C3A" w14:paraId="53785CAD" w14:textId="77777777" w:rsidTr="6484D402">
        <w:tc>
          <w:tcPr>
            <w:tcW w:w="13948" w:type="dxa"/>
            <w:gridSpan w:val="2"/>
            <w:shd w:val="clear" w:color="auto" w:fill="D4BCF5" w:themeFill="accent1" w:themeFillTint="33"/>
          </w:tcPr>
          <w:p w14:paraId="4B47E54B" w14:textId="77777777" w:rsidR="00955C3A" w:rsidRDefault="00955C3A" w:rsidP="00955C3A">
            <w:r>
              <w:t xml:space="preserve">Overall Purpose and Impact </w:t>
            </w:r>
          </w:p>
        </w:tc>
      </w:tr>
      <w:tr w:rsidR="00955C3A" w14:paraId="191E620D" w14:textId="77777777" w:rsidTr="6484D402">
        <w:tc>
          <w:tcPr>
            <w:tcW w:w="13948" w:type="dxa"/>
            <w:gridSpan w:val="2"/>
          </w:tcPr>
          <w:p w14:paraId="304268C4" w14:textId="5987D91F" w:rsidR="00F509DF" w:rsidRDefault="2A17D696" w:rsidP="1D39C6B9">
            <w:pPr>
              <w:rPr>
                <w:rFonts w:asciiTheme="majorHAnsi" w:hAnsiTheme="majorHAnsi"/>
              </w:rPr>
            </w:pPr>
            <w:r w:rsidRPr="1D39C6B9">
              <w:rPr>
                <w:rFonts w:asciiTheme="majorHAnsi" w:hAnsiTheme="majorHAnsi"/>
              </w:rPr>
              <w:t xml:space="preserve">The overarching purpose of this role is to </w:t>
            </w:r>
            <w:r w:rsidR="00F509DF" w:rsidRPr="1D39C6B9">
              <w:rPr>
                <w:rFonts w:asciiTheme="majorHAnsi" w:hAnsiTheme="majorHAnsi"/>
              </w:rPr>
              <w:t>support and empower coordinators to deliver high quality stroke support services,</w:t>
            </w:r>
            <w:r w:rsidR="00F509DF">
              <w:t xml:space="preserve"> ensuring </w:t>
            </w:r>
            <w:r w:rsidR="00F509DF" w:rsidRPr="1D39C6B9">
              <w:rPr>
                <w:rFonts w:asciiTheme="majorHAnsi" w:hAnsiTheme="majorHAnsi"/>
              </w:rPr>
              <w:t xml:space="preserve">stroke survivors and their carers receive the best possible support to rebuild their lives after stroke.  </w:t>
            </w:r>
          </w:p>
          <w:p w14:paraId="4BA157B2" w14:textId="77777777" w:rsidR="00B036AD" w:rsidRDefault="00B036AD" w:rsidP="1D39C6B9">
            <w:pPr>
              <w:rPr>
                <w:rFonts w:asciiTheme="majorHAnsi" w:hAnsiTheme="majorHAnsi"/>
              </w:rPr>
            </w:pPr>
          </w:p>
          <w:p w14:paraId="5D368A6B" w14:textId="750EA34E" w:rsidR="00F509DF" w:rsidRDefault="5A3A8D48" w:rsidP="1D39C6B9">
            <w:pPr>
              <w:rPr>
                <w:rFonts w:asciiTheme="majorHAnsi" w:hAnsiTheme="majorHAnsi"/>
              </w:rPr>
            </w:pPr>
            <w:r w:rsidRPr="1D39C6B9">
              <w:rPr>
                <w:rFonts w:asciiTheme="majorHAnsi" w:eastAsia="Oxygen" w:hAnsiTheme="majorHAnsi"/>
                <w:szCs w:val="24"/>
              </w:rPr>
              <w:t>To do this the role needs to be led by a coaching ethos</w:t>
            </w:r>
            <w:r w:rsidR="25286D20" w:rsidRPr="1D39C6B9">
              <w:rPr>
                <w:rFonts w:asciiTheme="majorHAnsi" w:eastAsia="Oxygen" w:hAnsiTheme="majorHAnsi"/>
                <w:szCs w:val="24"/>
              </w:rPr>
              <w:t xml:space="preserve">, </w:t>
            </w:r>
            <w:r w:rsidRPr="1D39C6B9">
              <w:rPr>
                <w:rFonts w:asciiTheme="majorHAnsi" w:eastAsia="Oxygen" w:hAnsiTheme="majorHAnsi"/>
                <w:szCs w:val="24"/>
              </w:rPr>
              <w:t>act</w:t>
            </w:r>
            <w:r w:rsidR="4860ECA2" w:rsidRPr="1D39C6B9">
              <w:rPr>
                <w:rFonts w:asciiTheme="majorHAnsi" w:eastAsia="Oxygen" w:hAnsiTheme="majorHAnsi"/>
                <w:szCs w:val="24"/>
              </w:rPr>
              <w:t>ing</w:t>
            </w:r>
            <w:r w:rsidRPr="1D39C6B9">
              <w:rPr>
                <w:rFonts w:asciiTheme="majorHAnsi" w:eastAsia="Oxygen" w:hAnsiTheme="majorHAnsi"/>
                <w:szCs w:val="24"/>
              </w:rPr>
              <w:t xml:space="preserve"> as a </w:t>
            </w:r>
            <w:r w:rsidR="004556FE" w:rsidRPr="1D39C6B9">
              <w:rPr>
                <w:rFonts w:asciiTheme="majorHAnsi" w:eastAsia="Oxygen" w:hAnsiTheme="majorHAnsi"/>
                <w:szCs w:val="24"/>
              </w:rPr>
              <w:t>coach,</w:t>
            </w:r>
            <w:r w:rsidRPr="1D39C6B9">
              <w:rPr>
                <w:rFonts w:asciiTheme="majorHAnsi" w:eastAsia="Oxygen" w:hAnsiTheme="majorHAnsi"/>
                <w:szCs w:val="24"/>
              </w:rPr>
              <w:t xml:space="preserve"> and support</w:t>
            </w:r>
            <w:r w:rsidR="5980F934" w:rsidRPr="1D39C6B9">
              <w:rPr>
                <w:rFonts w:asciiTheme="majorHAnsi" w:eastAsia="Oxygen" w:hAnsiTheme="majorHAnsi"/>
                <w:szCs w:val="24"/>
              </w:rPr>
              <w:t>ing</w:t>
            </w:r>
            <w:r w:rsidRPr="1D39C6B9">
              <w:rPr>
                <w:rFonts w:asciiTheme="majorHAnsi" w:eastAsia="Oxygen" w:hAnsiTheme="majorHAnsi"/>
                <w:szCs w:val="24"/>
              </w:rPr>
              <w:t xml:space="preserve"> coordinators to be their best whilst providing support for stroke survivors and their carers, and nurturing their wellbeing </w:t>
            </w:r>
            <w:r w:rsidR="004556FE">
              <w:rPr>
                <w:rFonts w:asciiTheme="majorHAnsi" w:eastAsia="Oxygen" w:hAnsiTheme="majorHAnsi"/>
                <w:szCs w:val="24"/>
              </w:rPr>
              <w:t xml:space="preserve">- </w:t>
            </w:r>
            <w:r w:rsidRPr="1D39C6B9">
              <w:rPr>
                <w:rFonts w:asciiTheme="majorHAnsi" w:eastAsia="Oxygen" w:hAnsiTheme="majorHAnsi"/>
                <w:szCs w:val="24"/>
              </w:rPr>
              <w:t>“</w:t>
            </w:r>
            <w:r w:rsidR="004556FE">
              <w:rPr>
                <w:rFonts w:asciiTheme="majorHAnsi" w:eastAsia="Oxygen" w:hAnsiTheme="majorHAnsi"/>
                <w:szCs w:val="24"/>
              </w:rPr>
              <w:t>w</w:t>
            </w:r>
            <w:r w:rsidRPr="1D39C6B9">
              <w:rPr>
                <w:rFonts w:asciiTheme="majorHAnsi" w:eastAsia="Oxygen" w:hAnsiTheme="majorHAnsi"/>
                <w:szCs w:val="24"/>
              </w:rPr>
              <w:t>e care for ourselves as we care for others”</w:t>
            </w:r>
            <w:r w:rsidR="429B92C8" w:rsidRPr="1D39C6B9">
              <w:rPr>
                <w:rFonts w:asciiTheme="majorHAnsi" w:eastAsia="Oxygen" w:hAnsiTheme="majorHAnsi"/>
                <w:szCs w:val="24"/>
              </w:rPr>
              <w:t>.</w:t>
            </w:r>
            <w:r w:rsidR="00E36F55">
              <w:rPr>
                <w:rFonts w:asciiTheme="majorHAnsi" w:eastAsia="Oxygen" w:hAnsiTheme="majorHAnsi"/>
                <w:szCs w:val="24"/>
              </w:rPr>
              <w:t xml:space="preserve"> </w:t>
            </w:r>
            <w:r w:rsidR="578457AB" w:rsidRPr="1D39C6B9">
              <w:rPr>
                <w:rFonts w:asciiTheme="majorHAnsi" w:hAnsiTheme="majorHAnsi"/>
              </w:rPr>
              <w:t xml:space="preserve">The service </w:t>
            </w:r>
            <w:r w:rsidR="00460F5B">
              <w:rPr>
                <w:rFonts w:asciiTheme="majorHAnsi" w:hAnsiTheme="majorHAnsi"/>
              </w:rPr>
              <w:t xml:space="preserve">delivery </w:t>
            </w:r>
            <w:r w:rsidR="578457AB" w:rsidRPr="1D39C6B9">
              <w:rPr>
                <w:rFonts w:asciiTheme="majorHAnsi" w:hAnsiTheme="majorHAnsi"/>
              </w:rPr>
              <w:t>coach will</w:t>
            </w:r>
            <w:r w:rsidR="3D84E457" w:rsidRPr="1D39C6B9">
              <w:rPr>
                <w:rFonts w:asciiTheme="majorHAnsi" w:hAnsiTheme="majorHAnsi"/>
              </w:rPr>
              <w:t xml:space="preserve"> </w:t>
            </w:r>
            <w:r w:rsidR="00F509DF" w:rsidRPr="1D39C6B9">
              <w:rPr>
                <w:rFonts w:asciiTheme="majorHAnsi" w:hAnsiTheme="majorHAnsi"/>
              </w:rPr>
              <w:t xml:space="preserve">empower coordinators to take ownership for the continuous improvement of quality and consistency of the services we provide. </w:t>
            </w:r>
          </w:p>
          <w:p w14:paraId="55ABA931" w14:textId="77777777" w:rsidR="00B036AD" w:rsidRDefault="00B036AD" w:rsidP="1D39C6B9">
            <w:pPr>
              <w:rPr>
                <w:rFonts w:asciiTheme="majorHAnsi" w:hAnsiTheme="majorHAnsi"/>
              </w:rPr>
            </w:pPr>
          </w:p>
          <w:p w14:paraId="30A7BB50" w14:textId="7F090F42" w:rsidR="00F509DF" w:rsidRDefault="1BF079F5" w:rsidP="6484D402">
            <w:pPr>
              <w:rPr>
                <w:rFonts w:asciiTheme="majorHAnsi" w:hAnsiTheme="majorHAnsi"/>
              </w:rPr>
            </w:pPr>
            <w:r w:rsidRPr="6484D402">
              <w:rPr>
                <w:rFonts w:asciiTheme="majorHAnsi" w:hAnsiTheme="majorHAnsi"/>
              </w:rPr>
              <w:t>Whilst a coaching style will be appropriate for many aspects of the role, there will be occa</w:t>
            </w:r>
            <w:r w:rsidR="2D1AA4F7" w:rsidRPr="6484D402">
              <w:rPr>
                <w:rFonts w:asciiTheme="majorHAnsi" w:hAnsiTheme="majorHAnsi"/>
              </w:rPr>
              <w:t xml:space="preserve">sions </w:t>
            </w:r>
            <w:r w:rsidRPr="6484D402">
              <w:rPr>
                <w:rFonts w:asciiTheme="majorHAnsi" w:hAnsiTheme="majorHAnsi"/>
              </w:rPr>
              <w:t>where</w:t>
            </w:r>
            <w:r w:rsidR="4E4C6480" w:rsidRPr="6484D402">
              <w:rPr>
                <w:rFonts w:asciiTheme="majorHAnsi" w:hAnsiTheme="majorHAnsi"/>
              </w:rPr>
              <w:t xml:space="preserve"> strong leadership and management will need to be demonstrated to</w:t>
            </w:r>
            <w:r w:rsidR="00F509DF" w:rsidRPr="6484D402">
              <w:rPr>
                <w:rFonts w:asciiTheme="majorHAnsi" w:hAnsiTheme="majorHAnsi"/>
              </w:rPr>
              <w:t xml:space="preserve"> ensure </w:t>
            </w:r>
            <w:r w:rsidR="150CE1CD" w:rsidRPr="6484D402">
              <w:rPr>
                <w:rFonts w:asciiTheme="majorHAnsi" w:hAnsiTheme="majorHAnsi"/>
              </w:rPr>
              <w:t xml:space="preserve">coordinators </w:t>
            </w:r>
            <w:r w:rsidR="00F509DF" w:rsidRPr="6484D402">
              <w:rPr>
                <w:rFonts w:asciiTheme="majorHAnsi" w:hAnsiTheme="majorHAnsi"/>
              </w:rPr>
              <w:t>are maintaining compliance of the services against organisational and contractual policies and procedures</w:t>
            </w:r>
            <w:r w:rsidR="333252FF" w:rsidRPr="6484D402">
              <w:rPr>
                <w:rFonts w:asciiTheme="majorHAnsi" w:hAnsiTheme="majorHAnsi"/>
              </w:rPr>
              <w:t xml:space="preserve"> and addressing performance related issues.</w:t>
            </w:r>
          </w:p>
          <w:p w14:paraId="199B5A1B" w14:textId="77777777" w:rsidR="00B036AD" w:rsidRDefault="00B036AD" w:rsidP="6484D402">
            <w:pPr>
              <w:rPr>
                <w:rFonts w:asciiTheme="majorHAnsi" w:hAnsiTheme="majorHAnsi"/>
              </w:rPr>
            </w:pPr>
          </w:p>
          <w:p w14:paraId="40AFBD4C" w14:textId="77777777" w:rsidR="00B036AD" w:rsidRDefault="3DAB29FB" w:rsidP="00E36F55">
            <w:r w:rsidRPr="6484D402">
              <w:rPr>
                <w:rFonts w:asciiTheme="majorHAnsi" w:eastAsia="Oxygen" w:hAnsiTheme="majorHAnsi"/>
                <w:szCs w:val="24"/>
              </w:rPr>
              <w:t>Coaches may be required to work across locality boundaries</w:t>
            </w:r>
            <w:r w:rsidR="00B036AD">
              <w:t>.</w:t>
            </w:r>
          </w:p>
          <w:p w14:paraId="29D6B04F" w14:textId="6199C84E" w:rsidR="004556FE" w:rsidRDefault="004556FE" w:rsidP="00E36F55">
            <w:pPr>
              <w:rPr>
                <w:rFonts w:eastAsia="Oxygen"/>
                <w:szCs w:val="24"/>
              </w:rPr>
            </w:pPr>
          </w:p>
        </w:tc>
      </w:tr>
      <w:tr w:rsidR="00955C3A" w14:paraId="0908530F" w14:textId="77777777" w:rsidTr="00E36F55">
        <w:tc>
          <w:tcPr>
            <w:tcW w:w="10060" w:type="dxa"/>
            <w:shd w:val="clear" w:color="auto" w:fill="D4BCF5" w:themeFill="accent1" w:themeFillTint="33"/>
          </w:tcPr>
          <w:p w14:paraId="2AD40A83" w14:textId="45947770" w:rsidR="00955C3A" w:rsidRPr="00872CEE" w:rsidRDefault="00955C3A" w:rsidP="00955C3A">
            <w:pPr>
              <w:rPr>
                <w:rFonts w:asciiTheme="majorHAnsi" w:hAnsiTheme="majorHAnsi"/>
              </w:rPr>
            </w:pPr>
            <w:r w:rsidRPr="00872CEE">
              <w:rPr>
                <w:rFonts w:asciiTheme="majorHAnsi" w:hAnsiTheme="majorHAnsi"/>
              </w:rPr>
              <w:t>Responsibilities</w:t>
            </w:r>
          </w:p>
        </w:tc>
        <w:tc>
          <w:tcPr>
            <w:tcW w:w="3888" w:type="dxa"/>
            <w:shd w:val="clear" w:color="auto" w:fill="D4BCF5" w:themeFill="accent1" w:themeFillTint="33"/>
          </w:tcPr>
          <w:p w14:paraId="3240267A" w14:textId="77777777" w:rsidR="00955C3A" w:rsidRPr="00B036AD" w:rsidRDefault="00955C3A" w:rsidP="00955C3A">
            <w:r w:rsidRPr="00B036AD">
              <w:t>Measured through the delivery of</w:t>
            </w:r>
          </w:p>
        </w:tc>
      </w:tr>
      <w:tr w:rsidR="00955C3A" w14:paraId="67336846" w14:textId="77777777" w:rsidTr="00E36F55">
        <w:tc>
          <w:tcPr>
            <w:tcW w:w="10060" w:type="dxa"/>
          </w:tcPr>
          <w:p w14:paraId="5890F133" w14:textId="3843CA3A" w:rsidR="00955C3A" w:rsidRPr="00272969" w:rsidRDefault="009E6132" w:rsidP="00272969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lastRenderedPageBreak/>
              <w:t xml:space="preserve">Responsible for empowering </w:t>
            </w:r>
            <w:r w:rsidRPr="009E6132">
              <w:rPr>
                <w:rFonts w:asciiTheme="majorHAnsi" w:hAnsiTheme="majorHAnsi"/>
              </w:rPr>
              <w:t xml:space="preserve">coordinators to identify gaps and respond to opportunities for service growth, </w:t>
            </w:r>
            <w:r>
              <w:rPr>
                <w:rFonts w:asciiTheme="majorHAnsi" w:hAnsiTheme="majorHAnsi"/>
              </w:rPr>
              <w:t xml:space="preserve">including </w:t>
            </w:r>
            <w:r w:rsidRPr="009E6132">
              <w:rPr>
                <w:rFonts w:asciiTheme="majorHAnsi" w:hAnsiTheme="majorHAnsi"/>
              </w:rPr>
              <w:t>collat</w:t>
            </w:r>
            <w:r>
              <w:rPr>
                <w:rFonts w:asciiTheme="majorHAnsi" w:hAnsiTheme="majorHAnsi"/>
              </w:rPr>
              <w:t xml:space="preserve">ing </w:t>
            </w:r>
            <w:r w:rsidRPr="009E6132">
              <w:rPr>
                <w:rFonts w:asciiTheme="majorHAnsi" w:hAnsiTheme="majorHAnsi"/>
              </w:rPr>
              <w:t xml:space="preserve">insight </w:t>
            </w:r>
            <w:r>
              <w:rPr>
                <w:rFonts w:asciiTheme="majorHAnsi" w:hAnsiTheme="majorHAnsi"/>
              </w:rPr>
              <w:t>and sharing this</w:t>
            </w:r>
            <w:r w:rsidR="00272969">
              <w:rPr>
                <w:rFonts w:asciiTheme="majorHAnsi" w:hAnsiTheme="majorHAnsi"/>
              </w:rPr>
              <w:t xml:space="preserve"> with </w:t>
            </w:r>
            <w:r w:rsidR="00272969" w:rsidRPr="00272969">
              <w:rPr>
                <w:rFonts w:asciiTheme="majorHAnsi" w:hAnsiTheme="majorHAnsi"/>
                <w:lang w:val="en-US"/>
              </w:rPr>
              <w:t>Service Delivery Lead</w:t>
            </w:r>
          </w:p>
        </w:tc>
        <w:tc>
          <w:tcPr>
            <w:tcW w:w="3888" w:type="dxa"/>
          </w:tcPr>
          <w:p w14:paraId="57AB11E4" w14:textId="77777777" w:rsidR="00955C3A" w:rsidRDefault="00AD0DC7" w:rsidP="00955C3A">
            <w:r>
              <w:t xml:space="preserve">Locality plan development </w:t>
            </w:r>
          </w:p>
        </w:tc>
      </w:tr>
      <w:tr w:rsidR="009E6132" w14:paraId="59495810" w14:textId="77777777" w:rsidTr="00E36F55">
        <w:tc>
          <w:tcPr>
            <w:tcW w:w="10060" w:type="dxa"/>
          </w:tcPr>
          <w:p w14:paraId="660CAA6B" w14:textId="2618E7C9" w:rsidR="009E6132" w:rsidRPr="00D962A8" w:rsidRDefault="009E6132" w:rsidP="1D39C6B9">
            <w:pPr>
              <w:rPr>
                <w:rFonts w:asciiTheme="majorHAnsi" w:hAnsiTheme="majorHAnsi"/>
              </w:rPr>
            </w:pPr>
            <w:r w:rsidRPr="1D39C6B9">
              <w:rPr>
                <w:rFonts w:asciiTheme="majorHAnsi" w:hAnsiTheme="majorHAnsi"/>
              </w:rPr>
              <w:t>Ensure capacity for delivery of service</w:t>
            </w:r>
            <w:r w:rsidR="001C627A">
              <w:rPr>
                <w:rFonts w:asciiTheme="majorHAnsi" w:hAnsiTheme="majorHAnsi"/>
              </w:rPr>
              <w:t>s by recruiting and supporting Stroke Support C</w:t>
            </w:r>
            <w:r w:rsidRPr="1D39C6B9">
              <w:rPr>
                <w:rFonts w:asciiTheme="majorHAnsi" w:hAnsiTheme="majorHAnsi"/>
              </w:rPr>
              <w:t>oordinators</w:t>
            </w:r>
            <w:r w:rsidR="76E97161" w:rsidRPr="1D39C6B9">
              <w:rPr>
                <w:rFonts w:asciiTheme="majorHAnsi" w:hAnsiTheme="majorHAnsi"/>
              </w:rPr>
              <w:t>. Empower</w:t>
            </w:r>
            <w:r w:rsidRPr="1D39C6B9">
              <w:rPr>
                <w:rFonts w:asciiTheme="majorHAnsi" w:hAnsiTheme="majorHAnsi"/>
              </w:rPr>
              <w:t xml:space="preserve"> </w:t>
            </w:r>
            <w:r w:rsidR="51F35A2D" w:rsidRPr="1D39C6B9">
              <w:rPr>
                <w:rFonts w:asciiTheme="majorHAnsi" w:hAnsiTheme="majorHAnsi"/>
              </w:rPr>
              <w:t xml:space="preserve">coordinators to </w:t>
            </w:r>
            <w:r w:rsidRPr="1D39C6B9">
              <w:rPr>
                <w:rFonts w:asciiTheme="majorHAnsi" w:hAnsiTheme="majorHAnsi"/>
              </w:rPr>
              <w:t xml:space="preserve">identify and address capability gaps and build volunteer capacity where required.  </w:t>
            </w:r>
          </w:p>
        </w:tc>
        <w:tc>
          <w:tcPr>
            <w:tcW w:w="3888" w:type="dxa"/>
          </w:tcPr>
          <w:p w14:paraId="78D4416E" w14:textId="2B32882D" w:rsidR="009E6132" w:rsidRPr="00D962A8" w:rsidRDefault="009E6132" w:rsidP="00B036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Deliv</w:t>
            </w:r>
            <w:r w:rsidR="00B036AD">
              <w:rPr>
                <w:rFonts w:asciiTheme="majorHAnsi" w:hAnsiTheme="majorHAnsi"/>
              </w:rPr>
              <w:t xml:space="preserve">ery of services within locality; </w:t>
            </w:r>
            <w:r>
              <w:rPr>
                <w:rFonts w:asciiTheme="majorHAnsi" w:hAnsiTheme="majorHAnsi"/>
              </w:rPr>
              <w:t xml:space="preserve">People satisfaction survey </w:t>
            </w:r>
          </w:p>
        </w:tc>
      </w:tr>
      <w:tr w:rsidR="009E6132" w14:paraId="78170C77" w14:textId="77777777" w:rsidTr="00E36F55">
        <w:tc>
          <w:tcPr>
            <w:tcW w:w="10060" w:type="dxa"/>
          </w:tcPr>
          <w:p w14:paraId="01CF17AA" w14:textId="71B56818" w:rsidR="009E6132" w:rsidRDefault="009E6132" w:rsidP="7F9D51FC">
            <w:pPr>
              <w:rPr>
                <w:rFonts w:asciiTheme="majorHAnsi" w:hAnsiTheme="majorHAnsi"/>
              </w:rPr>
            </w:pPr>
            <w:r w:rsidRPr="595B4BE4">
              <w:rPr>
                <w:rFonts w:asciiTheme="majorHAnsi" w:hAnsiTheme="majorHAnsi"/>
              </w:rPr>
              <w:t>Support coordinators to build strong relationships with key stakeholder</w:t>
            </w:r>
            <w:r w:rsidR="5E605EFA" w:rsidRPr="595B4BE4">
              <w:rPr>
                <w:rFonts w:asciiTheme="majorHAnsi" w:hAnsiTheme="majorHAnsi"/>
              </w:rPr>
              <w:t>s</w:t>
            </w:r>
            <w:r w:rsidRPr="595B4BE4">
              <w:rPr>
                <w:rFonts w:asciiTheme="majorHAnsi" w:hAnsiTheme="majorHAnsi"/>
              </w:rPr>
              <w:t xml:space="preserve"> to ensure strong integration within the stroke pathway and the relevant community health, social care and voluntary services, including building effective referral pathways both in and out of the service.  </w:t>
            </w:r>
          </w:p>
        </w:tc>
        <w:tc>
          <w:tcPr>
            <w:tcW w:w="3888" w:type="dxa"/>
          </w:tcPr>
          <w:p w14:paraId="6BED35B2" w14:textId="77777777" w:rsidR="009E6132" w:rsidRDefault="00AD0DC7" w:rsidP="009E61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Quarterly reports of referrals </w:t>
            </w:r>
          </w:p>
        </w:tc>
      </w:tr>
      <w:tr w:rsidR="009E6132" w14:paraId="1216FE35" w14:textId="77777777" w:rsidTr="00E36F55">
        <w:tc>
          <w:tcPr>
            <w:tcW w:w="10060" w:type="dxa"/>
          </w:tcPr>
          <w:p w14:paraId="57302204" w14:textId="77777777" w:rsidR="009E6132" w:rsidRDefault="004E4DDA" w:rsidP="009E6132">
            <w:r w:rsidRPr="004E4DDA">
              <w:rPr>
                <w:rFonts w:asciiTheme="majorHAnsi" w:hAnsiTheme="majorHAnsi"/>
              </w:rPr>
              <w:t>Facilitate opportunities for shared learning and sharing of best practice. Feed in outcomes to wider</w:t>
            </w:r>
            <w:r>
              <w:rPr>
                <w:rFonts w:asciiTheme="majorHAnsi" w:hAnsiTheme="majorHAnsi"/>
              </w:rPr>
              <w:t xml:space="preserve"> product development and</w:t>
            </w:r>
            <w:r w:rsidRPr="004E4DDA">
              <w:rPr>
                <w:rFonts w:asciiTheme="majorHAnsi" w:hAnsiTheme="majorHAnsi"/>
              </w:rPr>
              <w:t xml:space="preserve"> innovation discussion</w:t>
            </w:r>
            <w:r>
              <w:rPr>
                <w:rFonts w:asciiTheme="majorHAnsi" w:hAnsiTheme="majorHAnsi"/>
              </w:rPr>
              <w:t>s</w:t>
            </w:r>
          </w:p>
        </w:tc>
        <w:tc>
          <w:tcPr>
            <w:tcW w:w="3888" w:type="dxa"/>
          </w:tcPr>
          <w:p w14:paraId="1E450914" w14:textId="3D46BAB4" w:rsidR="00AD0DC7" w:rsidRDefault="00B036AD" w:rsidP="00B036AD">
            <w:r>
              <w:t xml:space="preserve">Evidence of activity; </w:t>
            </w:r>
            <w:r w:rsidR="00AD0DC7">
              <w:t>Engagement survey</w:t>
            </w:r>
          </w:p>
        </w:tc>
      </w:tr>
      <w:tr w:rsidR="009E6132" w:rsidRPr="009E6132" w14:paraId="494A49B7" w14:textId="77777777" w:rsidTr="00E36F55">
        <w:tc>
          <w:tcPr>
            <w:tcW w:w="10060" w:type="dxa"/>
          </w:tcPr>
          <w:p w14:paraId="608D9224" w14:textId="6FCDA26A" w:rsidR="009E6132" w:rsidRPr="009E6132" w:rsidRDefault="791C5896" w:rsidP="7EF24CD8">
            <w:pPr>
              <w:rPr>
                <w:rFonts w:asciiTheme="majorHAnsi" w:hAnsiTheme="majorHAnsi"/>
              </w:rPr>
            </w:pPr>
            <w:r w:rsidRPr="7EF24CD8">
              <w:rPr>
                <w:rFonts w:asciiTheme="majorHAnsi" w:hAnsiTheme="majorHAnsi"/>
              </w:rPr>
              <w:t xml:space="preserve">Empowering coordinators to deliver high quality support in line with statutory and internal policy and procedure and within contract requirements. </w:t>
            </w:r>
            <w:r w:rsidR="28BD5417" w:rsidRPr="7EF24CD8">
              <w:rPr>
                <w:rFonts w:asciiTheme="majorHAnsi" w:hAnsiTheme="majorHAnsi"/>
              </w:rPr>
              <w:t>Support</w:t>
            </w:r>
            <w:r w:rsidRPr="7EF24CD8">
              <w:rPr>
                <w:rFonts w:asciiTheme="majorHAnsi" w:hAnsiTheme="majorHAnsi"/>
              </w:rPr>
              <w:t xml:space="preserve"> performance improvement where appropriate.</w:t>
            </w:r>
          </w:p>
        </w:tc>
        <w:tc>
          <w:tcPr>
            <w:tcW w:w="3888" w:type="dxa"/>
          </w:tcPr>
          <w:p w14:paraId="080FAB1D" w14:textId="77777777" w:rsidR="009E6132" w:rsidRPr="009E6132" w:rsidRDefault="00AD0DC7" w:rsidP="009E61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Quarterly reports </w:t>
            </w:r>
          </w:p>
        </w:tc>
      </w:tr>
      <w:tr w:rsidR="009E6132" w:rsidRPr="009E6132" w14:paraId="26C69375" w14:textId="77777777" w:rsidTr="00E36F55">
        <w:tc>
          <w:tcPr>
            <w:tcW w:w="10060" w:type="dxa"/>
          </w:tcPr>
          <w:p w14:paraId="129AD050" w14:textId="77777777" w:rsidR="009E6132" w:rsidRPr="009E6132" w:rsidRDefault="004E4DDA" w:rsidP="004E4DDA">
            <w:pPr>
              <w:rPr>
                <w:rFonts w:asciiTheme="majorHAnsi" w:hAnsiTheme="majorHAnsi"/>
              </w:rPr>
            </w:pPr>
            <w:r w:rsidRPr="004E4DDA">
              <w:rPr>
                <w:rFonts w:asciiTheme="majorHAnsi" w:hAnsiTheme="majorHAnsi"/>
              </w:rPr>
              <w:t xml:space="preserve">Enable coordinators to understand and </w:t>
            </w:r>
            <w:r>
              <w:rPr>
                <w:rFonts w:asciiTheme="majorHAnsi" w:hAnsiTheme="majorHAnsi"/>
              </w:rPr>
              <w:t>be responsible for the</w:t>
            </w:r>
            <w:r w:rsidRPr="004E4DDA">
              <w:rPr>
                <w:rFonts w:asciiTheme="majorHAnsi" w:hAnsiTheme="majorHAnsi"/>
              </w:rPr>
              <w:t xml:space="preserve"> active monitoring of dat</w:t>
            </w:r>
            <w:r>
              <w:rPr>
                <w:rFonts w:asciiTheme="majorHAnsi" w:hAnsiTheme="majorHAnsi"/>
              </w:rPr>
              <w:t xml:space="preserve">a quality, reporting and service delivery against their national and local key performance indicators. Empowering staff to take ownership of their </w:t>
            </w:r>
            <w:r w:rsidR="00AD0DC7">
              <w:rPr>
                <w:rFonts w:asciiTheme="majorHAnsi" w:hAnsiTheme="majorHAnsi"/>
              </w:rPr>
              <w:t xml:space="preserve">service and personal objectives. </w:t>
            </w:r>
          </w:p>
        </w:tc>
        <w:tc>
          <w:tcPr>
            <w:tcW w:w="3888" w:type="dxa"/>
          </w:tcPr>
          <w:p w14:paraId="5AB18C11" w14:textId="2788CBF9" w:rsidR="009E6132" w:rsidRDefault="00AD0DC7" w:rsidP="009E61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Quarterly reports</w:t>
            </w:r>
            <w:r w:rsidR="00B036AD">
              <w:rPr>
                <w:rFonts w:asciiTheme="majorHAnsi" w:hAnsiTheme="majorHAnsi"/>
              </w:rPr>
              <w:t xml:space="preserve">; </w:t>
            </w:r>
          </w:p>
          <w:p w14:paraId="4BCB55EC" w14:textId="5B82737E" w:rsidR="00AD0DC7" w:rsidRPr="009E6132" w:rsidRDefault="00AD0DC7" w:rsidP="00B036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Annual Objectives</w:t>
            </w:r>
            <w:r w:rsidR="00B036AD">
              <w:rPr>
                <w:rFonts w:asciiTheme="majorHAnsi" w:hAnsiTheme="majorHAnsi"/>
              </w:rPr>
              <w:t xml:space="preserve">; </w:t>
            </w:r>
            <w:r>
              <w:rPr>
                <w:rFonts w:asciiTheme="majorHAnsi" w:hAnsiTheme="majorHAnsi"/>
              </w:rPr>
              <w:t>Achievement again</w:t>
            </w:r>
            <w:r w:rsidR="00E36F55">
              <w:rPr>
                <w:rFonts w:asciiTheme="majorHAnsi" w:hAnsiTheme="majorHAnsi"/>
              </w:rPr>
              <w:t>st</w:t>
            </w:r>
            <w:r>
              <w:rPr>
                <w:rFonts w:asciiTheme="majorHAnsi" w:hAnsiTheme="majorHAnsi"/>
              </w:rPr>
              <w:t xml:space="preserve"> delivery plan</w:t>
            </w:r>
          </w:p>
        </w:tc>
      </w:tr>
      <w:tr w:rsidR="009E6132" w:rsidRPr="009E6132" w14:paraId="71910C26" w14:textId="77777777" w:rsidTr="00E36F55">
        <w:tc>
          <w:tcPr>
            <w:tcW w:w="10060" w:type="dxa"/>
          </w:tcPr>
          <w:p w14:paraId="7A02C259" w14:textId="31D9095A" w:rsidR="009E6132" w:rsidRPr="009E6132" w:rsidRDefault="004E4DDA" w:rsidP="001C627A">
            <w:pPr>
              <w:rPr>
                <w:rFonts w:asciiTheme="majorHAnsi" w:hAnsiTheme="majorHAnsi"/>
              </w:rPr>
            </w:pPr>
            <w:r w:rsidRPr="595B4BE4">
              <w:rPr>
                <w:rFonts w:asciiTheme="majorHAnsi" w:hAnsiTheme="majorHAnsi"/>
              </w:rPr>
              <w:t>Understand relevant policy and procedure (</w:t>
            </w:r>
            <w:r w:rsidR="46F706A0" w:rsidRPr="595B4BE4">
              <w:rPr>
                <w:rFonts w:asciiTheme="majorHAnsi" w:hAnsiTheme="majorHAnsi"/>
              </w:rPr>
              <w:t>i.e.</w:t>
            </w:r>
            <w:r w:rsidRPr="595B4BE4">
              <w:rPr>
                <w:rFonts w:asciiTheme="majorHAnsi" w:hAnsiTheme="majorHAnsi"/>
              </w:rPr>
              <w:t xml:space="preserve"> safeguarding, health and safety and </w:t>
            </w:r>
            <w:r w:rsidR="001C627A" w:rsidRPr="001C627A">
              <w:rPr>
                <w:rFonts w:asciiTheme="majorHAnsi" w:hAnsiTheme="majorHAnsi"/>
              </w:rPr>
              <w:t>General Data Protection Regulation (GDPR)</w:t>
            </w:r>
            <w:r w:rsidRPr="595B4BE4">
              <w:rPr>
                <w:rFonts w:asciiTheme="majorHAnsi" w:hAnsiTheme="majorHAnsi"/>
              </w:rPr>
              <w:t xml:space="preserve"> and empower coordinators to understand them and support with compliance</w:t>
            </w:r>
          </w:p>
        </w:tc>
        <w:tc>
          <w:tcPr>
            <w:tcW w:w="3888" w:type="dxa"/>
          </w:tcPr>
          <w:p w14:paraId="4074B281" w14:textId="4D4E06B4" w:rsidR="009E6132" w:rsidRPr="009E6132" w:rsidRDefault="00AD0DC7" w:rsidP="00E3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Quarterly commissioner reports</w:t>
            </w:r>
            <w:r w:rsidR="00B036AD">
              <w:rPr>
                <w:rFonts w:asciiTheme="majorHAnsi" w:hAnsiTheme="majorHAnsi"/>
              </w:rPr>
              <w:t xml:space="preserve">; </w:t>
            </w:r>
            <w:r>
              <w:rPr>
                <w:rFonts w:asciiTheme="majorHAnsi" w:hAnsiTheme="majorHAnsi"/>
              </w:rPr>
              <w:t>Complaints tracker</w:t>
            </w:r>
            <w:r w:rsidR="00B036AD">
              <w:rPr>
                <w:rFonts w:asciiTheme="majorHAnsi" w:hAnsiTheme="majorHAnsi"/>
              </w:rPr>
              <w:t xml:space="preserve">; </w:t>
            </w:r>
            <w:r>
              <w:rPr>
                <w:rFonts w:asciiTheme="majorHAnsi" w:hAnsiTheme="majorHAnsi"/>
              </w:rPr>
              <w:t>Completion of N1/accident/incident reports</w:t>
            </w:r>
            <w:r w:rsidR="00B036AD">
              <w:rPr>
                <w:rFonts w:asciiTheme="majorHAnsi" w:hAnsiTheme="majorHAnsi"/>
              </w:rPr>
              <w:t>;</w:t>
            </w:r>
            <w:r w:rsidR="00E36F5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Risk assessments</w:t>
            </w:r>
          </w:p>
        </w:tc>
      </w:tr>
      <w:tr w:rsidR="3B7F4C78" w14:paraId="48D74098" w14:textId="77777777" w:rsidTr="00E36F55">
        <w:tc>
          <w:tcPr>
            <w:tcW w:w="10060" w:type="dxa"/>
          </w:tcPr>
          <w:p w14:paraId="5EAEF223" w14:textId="6E9FC101" w:rsidR="66674840" w:rsidRDefault="630BE333" w:rsidP="7EF24CD8">
            <w:pPr>
              <w:rPr>
                <w:rFonts w:ascii="Oxygen" w:eastAsia="Oxygen" w:hAnsi="Oxygen" w:cs="Oxygen"/>
                <w:szCs w:val="24"/>
              </w:rPr>
            </w:pPr>
            <w:r w:rsidRPr="7EF24CD8">
              <w:rPr>
                <w:rFonts w:ascii="Oxygen" w:eastAsia="Oxygen" w:hAnsi="Oxygen" w:cs="Oxygen"/>
                <w:szCs w:val="24"/>
              </w:rPr>
              <w:t>Responsible for day</w:t>
            </w:r>
            <w:r w:rsidR="4B2FC09E" w:rsidRPr="7EF24CD8">
              <w:rPr>
                <w:rFonts w:ascii="Oxygen" w:eastAsia="Oxygen" w:hAnsi="Oxygen" w:cs="Oxygen"/>
                <w:szCs w:val="24"/>
              </w:rPr>
              <w:t xml:space="preserve"> </w:t>
            </w:r>
            <w:r w:rsidRPr="7EF24CD8">
              <w:rPr>
                <w:rFonts w:ascii="Oxygen" w:eastAsia="Oxygen" w:hAnsi="Oxygen" w:cs="Oxygen"/>
                <w:szCs w:val="24"/>
              </w:rPr>
              <w:t>to</w:t>
            </w:r>
            <w:r w:rsidR="749BCCBE" w:rsidRPr="7EF24CD8">
              <w:rPr>
                <w:rFonts w:ascii="Oxygen" w:eastAsia="Oxygen" w:hAnsi="Oxygen" w:cs="Oxygen"/>
                <w:szCs w:val="24"/>
              </w:rPr>
              <w:t xml:space="preserve"> </w:t>
            </w:r>
            <w:r w:rsidRPr="7EF24CD8">
              <w:rPr>
                <w:rFonts w:ascii="Oxygen" w:eastAsia="Oxygen" w:hAnsi="Oxygen" w:cs="Oxygen"/>
                <w:szCs w:val="24"/>
              </w:rPr>
              <w:t>day line management of coordinators such as approving annual leave, but escalating any performance or disciplinary related issues to the Service Delivery Lead.</w:t>
            </w:r>
          </w:p>
        </w:tc>
        <w:tc>
          <w:tcPr>
            <w:tcW w:w="3888" w:type="dxa"/>
          </w:tcPr>
          <w:p w14:paraId="2F8805D6" w14:textId="36BABC82" w:rsidR="0CF22DB7" w:rsidRDefault="7D133D86" w:rsidP="7EF24CD8">
            <w:pPr>
              <w:rPr>
                <w:rFonts w:ascii="Oxygen" w:eastAsia="Oxygen" w:hAnsi="Oxygen" w:cs="Oxygen"/>
                <w:szCs w:val="24"/>
              </w:rPr>
            </w:pPr>
            <w:r w:rsidRPr="7EF24CD8">
              <w:rPr>
                <w:rFonts w:ascii="Oxygen" w:eastAsia="Oxygen" w:hAnsi="Oxygen" w:cs="Oxygen"/>
                <w:szCs w:val="24"/>
              </w:rPr>
              <w:t>Evidence of activity</w:t>
            </w:r>
          </w:p>
        </w:tc>
      </w:tr>
      <w:tr w:rsidR="004E4DDA" w:rsidRPr="009E6132" w14:paraId="3CDC6835" w14:textId="77777777" w:rsidTr="00E36F55">
        <w:tc>
          <w:tcPr>
            <w:tcW w:w="10060" w:type="dxa"/>
          </w:tcPr>
          <w:p w14:paraId="411EA7BC" w14:textId="1417DD3A" w:rsidR="004E4DDA" w:rsidRPr="009E6132" w:rsidRDefault="004E4DDA" w:rsidP="004E4D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Support coordinators to develop and maintain effective relationships and referral pathways between l</w:t>
            </w:r>
            <w:r w:rsidR="001C627A">
              <w:rPr>
                <w:rFonts w:asciiTheme="majorHAnsi" w:hAnsiTheme="majorHAnsi"/>
              </w:rPr>
              <w:t>ocal service provision and the Stroke A</w:t>
            </w:r>
            <w:r>
              <w:rPr>
                <w:rFonts w:asciiTheme="majorHAnsi" w:hAnsiTheme="majorHAnsi"/>
              </w:rPr>
              <w:t>ssoci</w:t>
            </w:r>
            <w:r w:rsidR="001C627A">
              <w:rPr>
                <w:rFonts w:asciiTheme="majorHAnsi" w:hAnsiTheme="majorHAnsi"/>
              </w:rPr>
              <w:t>ation voluntary led groups and Stroke A</w:t>
            </w:r>
            <w:r>
              <w:rPr>
                <w:rFonts w:asciiTheme="majorHAnsi" w:hAnsiTheme="majorHAnsi"/>
              </w:rPr>
              <w:t>ssociation network.</w:t>
            </w:r>
          </w:p>
        </w:tc>
        <w:tc>
          <w:tcPr>
            <w:tcW w:w="3888" w:type="dxa"/>
          </w:tcPr>
          <w:p w14:paraId="7C39EE34" w14:textId="660591C4" w:rsidR="00AD0DC7" w:rsidRDefault="00AD0DC7" w:rsidP="00AD0DC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Evidence of activity</w:t>
            </w:r>
            <w:r w:rsidR="00E36F55">
              <w:rPr>
                <w:rFonts w:asciiTheme="majorHAnsi" w:hAnsiTheme="majorHAnsi"/>
              </w:rPr>
              <w:t xml:space="preserve">; </w:t>
            </w:r>
          </w:p>
          <w:p w14:paraId="1F1EE4E9" w14:textId="70DF9397" w:rsidR="004E4DDA" w:rsidRPr="009E6132" w:rsidRDefault="00AD0DC7" w:rsidP="00E3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Service user feedback</w:t>
            </w:r>
            <w:r w:rsidR="00E36F55">
              <w:rPr>
                <w:rFonts w:asciiTheme="majorHAnsi" w:hAnsiTheme="majorHAnsi"/>
              </w:rPr>
              <w:t xml:space="preserve">; </w:t>
            </w:r>
            <w:r>
              <w:rPr>
                <w:rFonts w:asciiTheme="majorHAnsi" w:hAnsiTheme="majorHAnsi"/>
              </w:rPr>
              <w:t>Reach of groups and network locally</w:t>
            </w:r>
            <w:r w:rsidR="00E36F55">
              <w:rPr>
                <w:rFonts w:asciiTheme="majorHAnsi" w:hAnsiTheme="majorHAnsi"/>
              </w:rPr>
              <w:t xml:space="preserve">; </w:t>
            </w:r>
            <w:r>
              <w:rPr>
                <w:rFonts w:asciiTheme="majorHAnsi" w:hAnsiTheme="majorHAnsi"/>
              </w:rPr>
              <w:t>Quarterly reports</w:t>
            </w:r>
          </w:p>
        </w:tc>
      </w:tr>
      <w:tr w:rsidR="004E4DDA" w:rsidRPr="009E6132" w14:paraId="64282EFD" w14:textId="77777777" w:rsidTr="00E36F55">
        <w:tc>
          <w:tcPr>
            <w:tcW w:w="10060" w:type="dxa"/>
          </w:tcPr>
          <w:p w14:paraId="4FDB182C" w14:textId="77777777" w:rsidR="004E4DDA" w:rsidRPr="009E6132" w:rsidRDefault="004E4DDA" w:rsidP="004E4D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with colleagues to collectively empower coordinators to effectively manage service volunteers</w:t>
            </w:r>
          </w:p>
        </w:tc>
        <w:tc>
          <w:tcPr>
            <w:tcW w:w="3888" w:type="dxa"/>
          </w:tcPr>
          <w:p w14:paraId="154381B7" w14:textId="07E0D49A" w:rsidR="00AD0DC7" w:rsidRPr="009E6132" w:rsidRDefault="00AD0DC7" w:rsidP="00E3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Volunteer engagement survey</w:t>
            </w:r>
            <w:r w:rsidR="00B036AD">
              <w:rPr>
                <w:rFonts w:asciiTheme="majorHAnsi" w:hAnsiTheme="majorHAnsi"/>
              </w:rPr>
              <w:t>;</w:t>
            </w:r>
            <w:r w:rsidR="00E36F5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Quarterly report </w:t>
            </w:r>
          </w:p>
        </w:tc>
      </w:tr>
      <w:tr w:rsidR="004E4DDA" w:rsidRPr="009E6132" w14:paraId="2D17FA40" w14:textId="77777777" w:rsidTr="00E36F55">
        <w:tc>
          <w:tcPr>
            <w:tcW w:w="10060" w:type="dxa"/>
          </w:tcPr>
          <w:p w14:paraId="5E1CA5F5" w14:textId="566BB685" w:rsidR="004E4DDA" w:rsidRPr="009E6132" w:rsidRDefault="791C5896" w:rsidP="7EF24CD8">
            <w:pPr>
              <w:rPr>
                <w:rFonts w:asciiTheme="majorHAnsi" w:hAnsiTheme="majorHAnsi"/>
              </w:rPr>
            </w:pPr>
            <w:r w:rsidRPr="7EF24CD8">
              <w:rPr>
                <w:rFonts w:asciiTheme="majorHAnsi" w:hAnsiTheme="majorHAnsi"/>
              </w:rPr>
              <w:t>Empower coordinators to take responsibility for using feedback from services users to constantly improve the quality of the service provided. Ensure service level insight is fed up to Service Delivery</w:t>
            </w:r>
            <w:r w:rsidR="19C9E5FE" w:rsidRPr="7EF24CD8">
              <w:rPr>
                <w:rFonts w:asciiTheme="majorHAnsi" w:hAnsiTheme="majorHAnsi"/>
              </w:rPr>
              <w:t xml:space="preserve"> Lead</w:t>
            </w:r>
            <w:r w:rsidRPr="7EF24CD8">
              <w:rPr>
                <w:rFonts w:asciiTheme="majorHAnsi" w:hAnsiTheme="majorHAnsi"/>
              </w:rPr>
              <w:t xml:space="preserve">.  </w:t>
            </w:r>
          </w:p>
        </w:tc>
        <w:tc>
          <w:tcPr>
            <w:tcW w:w="3888" w:type="dxa"/>
          </w:tcPr>
          <w:p w14:paraId="144B0491" w14:textId="6FD7FA95" w:rsidR="00AD0DC7" w:rsidRPr="009E6132" w:rsidRDefault="00AD0DC7" w:rsidP="00B036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Quarterly reports</w:t>
            </w:r>
            <w:r w:rsidR="00B036AD">
              <w:rPr>
                <w:rFonts w:asciiTheme="majorHAnsi" w:hAnsiTheme="majorHAnsi"/>
              </w:rPr>
              <w:t xml:space="preserve">; </w:t>
            </w:r>
            <w:r>
              <w:rPr>
                <w:rFonts w:asciiTheme="majorHAnsi" w:hAnsiTheme="majorHAnsi"/>
              </w:rPr>
              <w:t>Key performance indicators</w:t>
            </w:r>
            <w:r w:rsidR="00B036AD">
              <w:rPr>
                <w:rFonts w:asciiTheme="majorHAnsi" w:hAnsiTheme="majorHAnsi"/>
              </w:rPr>
              <w:t xml:space="preserve">; </w:t>
            </w:r>
            <w:r>
              <w:rPr>
                <w:rFonts w:asciiTheme="majorHAnsi" w:hAnsiTheme="majorHAnsi"/>
              </w:rPr>
              <w:t>Service user feedback</w:t>
            </w:r>
          </w:p>
        </w:tc>
      </w:tr>
      <w:tr w:rsidR="004E4DDA" w:rsidRPr="009E6132" w14:paraId="64C60811" w14:textId="77777777" w:rsidTr="00E36F55">
        <w:tc>
          <w:tcPr>
            <w:tcW w:w="10060" w:type="dxa"/>
          </w:tcPr>
          <w:p w14:paraId="736EC7B1" w14:textId="3AFFE5D6" w:rsidR="004E4DDA" w:rsidRPr="009E6132" w:rsidRDefault="00AD0DC7" w:rsidP="1D39C6B9">
            <w:pPr>
              <w:rPr>
                <w:rFonts w:asciiTheme="majorHAnsi" w:hAnsiTheme="majorHAnsi"/>
              </w:rPr>
            </w:pPr>
            <w:r w:rsidRPr="7EF24CD8">
              <w:rPr>
                <w:rFonts w:asciiTheme="majorHAnsi" w:hAnsiTheme="majorHAnsi"/>
              </w:rPr>
              <w:t xml:space="preserve">Oversee the service delivery and quality, reporting any concerns to </w:t>
            </w:r>
            <w:r w:rsidR="663A731F" w:rsidRPr="7EF24CD8">
              <w:rPr>
                <w:rFonts w:asciiTheme="majorHAnsi" w:hAnsiTheme="majorHAnsi"/>
              </w:rPr>
              <w:t>S</w:t>
            </w:r>
            <w:r w:rsidRPr="7EF24CD8">
              <w:rPr>
                <w:rFonts w:asciiTheme="majorHAnsi" w:hAnsiTheme="majorHAnsi"/>
              </w:rPr>
              <w:t xml:space="preserve">ervice </w:t>
            </w:r>
            <w:r w:rsidR="073DE91A" w:rsidRPr="7EF24CD8">
              <w:rPr>
                <w:rFonts w:asciiTheme="majorHAnsi" w:hAnsiTheme="majorHAnsi"/>
              </w:rPr>
              <w:t>D</w:t>
            </w:r>
            <w:r w:rsidRPr="7EF24CD8">
              <w:rPr>
                <w:rFonts w:asciiTheme="majorHAnsi" w:hAnsiTheme="majorHAnsi"/>
              </w:rPr>
              <w:t>elivery</w:t>
            </w:r>
            <w:r w:rsidR="1432ED53" w:rsidRPr="7EF24CD8">
              <w:rPr>
                <w:rFonts w:asciiTheme="majorHAnsi" w:hAnsiTheme="majorHAnsi"/>
              </w:rPr>
              <w:t xml:space="preserve"> Lead</w:t>
            </w:r>
            <w:r w:rsidR="7FD69FF2" w:rsidRPr="7EF24CD8">
              <w:rPr>
                <w:rFonts w:asciiTheme="majorHAnsi" w:hAnsiTheme="majorHAnsi"/>
              </w:rPr>
              <w:t xml:space="preserve"> alongside </w:t>
            </w:r>
            <w:r w:rsidR="5AC893C4" w:rsidRPr="7EF24CD8">
              <w:rPr>
                <w:rFonts w:asciiTheme="majorHAnsi" w:hAnsiTheme="majorHAnsi"/>
              </w:rPr>
              <w:t>promoting understanding within coordinator teams</w:t>
            </w:r>
            <w:r w:rsidRPr="7EF24CD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88" w:type="dxa"/>
          </w:tcPr>
          <w:p w14:paraId="4222210D" w14:textId="0B948610" w:rsidR="004E4DDA" w:rsidRPr="009E6132" w:rsidRDefault="00B036AD" w:rsidP="00E3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Quarterly commissioner reports; </w:t>
            </w:r>
            <w:r w:rsidR="00AD0DC7">
              <w:rPr>
                <w:rFonts w:asciiTheme="majorHAnsi" w:hAnsiTheme="majorHAnsi"/>
              </w:rPr>
              <w:t>Complaints tracker</w:t>
            </w:r>
            <w:r>
              <w:rPr>
                <w:rFonts w:asciiTheme="majorHAnsi" w:hAnsiTheme="majorHAnsi"/>
              </w:rPr>
              <w:t xml:space="preserve">; </w:t>
            </w:r>
            <w:r w:rsidR="00AD0DC7">
              <w:rPr>
                <w:rFonts w:asciiTheme="majorHAnsi" w:hAnsiTheme="majorHAnsi"/>
              </w:rPr>
              <w:t>Completion of N1/accident/incident reports</w:t>
            </w:r>
            <w:r>
              <w:rPr>
                <w:rFonts w:asciiTheme="majorHAnsi" w:hAnsiTheme="majorHAnsi"/>
              </w:rPr>
              <w:t xml:space="preserve">; </w:t>
            </w:r>
            <w:r w:rsidR="00AD0DC7">
              <w:rPr>
                <w:rFonts w:asciiTheme="majorHAnsi" w:hAnsiTheme="majorHAnsi"/>
              </w:rPr>
              <w:t>Risk assessments</w:t>
            </w:r>
          </w:p>
        </w:tc>
      </w:tr>
      <w:tr w:rsidR="004E4DDA" w:rsidRPr="009E6132" w14:paraId="74521B78" w14:textId="77777777" w:rsidTr="00E36F55">
        <w:tc>
          <w:tcPr>
            <w:tcW w:w="10060" w:type="dxa"/>
          </w:tcPr>
          <w:p w14:paraId="7172E124" w14:textId="376988B9" w:rsidR="004E4DDA" w:rsidRPr="009E6132" w:rsidRDefault="707361C0" w:rsidP="7F9D51FC">
            <w:pPr>
              <w:rPr>
                <w:rFonts w:asciiTheme="majorHAnsi" w:hAnsiTheme="majorHAnsi"/>
              </w:rPr>
            </w:pPr>
            <w:r w:rsidRPr="1D39C6B9">
              <w:rPr>
                <w:rFonts w:asciiTheme="majorHAnsi" w:hAnsiTheme="majorHAnsi"/>
              </w:rPr>
              <w:t>To provide advice, guidance and support for coordinators to ena</w:t>
            </w:r>
            <w:r w:rsidR="5E4802D8" w:rsidRPr="1D39C6B9">
              <w:rPr>
                <w:rFonts w:asciiTheme="majorHAnsi" w:hAnsiTheme="majorHAnsi"/>
              </w:rPr>
              <w:t>ble them to manage their contracts and services in line with agreed expectations</w:t>
            </w:r>
            <w:r w:rsidR="7187A4A7" w:rsidRPr="1D39C6B9">
              <w:rPr>
                <w:rFonts w:asciiTheme="majorHAnsi" w:hAnsiTheme="majorHAnsi"/>
              </w:rPr>
              <w:t xml:space="preserve"> and </w:t>
            </w:r>
            <w:r w:rsidR="1616FA49" w:rsidRPr="1D39C6B9">
              <w:rPr>
                <w:rFonts w:asciiTheme="majorHAnsi" w:hAnsiTheme="majorHAnsi"/>
              </w:rPr>
              <w:t>commissioner</w:t>
            </w:r>
            <w:r w:rsidR="7187A4A7" w:rsidRPr="1D39C6B9">
              <w:rPr>
                <w:rFonts w:asciiTheme="majorHAnsi" w:hAnsiTheme="majorHAnsi"/>
              </w:rPr>
              <w:t xml:space="preserve"> requirements</w:t>
            </w:r>
            <w:r w:rsidR="07AAF4AB" w:rsidRPr="1D39C6B9">
              <w:rPr>
                <w:rFonts w:asciiTheme="majorHAnsi" w:hAnsiTheme="majorHAnsi"/>
              </w:rPr>
              <w:t>.</w:t>
            </w:r>
            <w:r w:rsidR="7187A4A7" w:rsidRPr="1D39C6B9">
              <w:rPr>
                <w:rFonts w:asciiTheme="majorHAnsi" w:hAnsiTheme="majorHAnsi"/>
              </w:rPr>
              <w:t xml:space="preserve"> </w:t>
            </w:r>
            <w:r w:rsidR="00AD0DC7" w:rsidRPr="1D39C6B9">
              <w:rPr>
                <w:rFonts w:asciiTheme="majorHAnsi" w:hAnsiTheme="majorHAnsi"/>
              </w:rPr>
              <w:t xml:space="preserve">Support internal </w:t>
            </w:r>
            <w:r w:rsidR="25C62A48" w:rsidRPr="1D39C6B9">
              <w:rPr>
                <w:rFonts w:asciiTheme="majorHAnsi" w:hAnsiTheme="majorHAnsi"/>
              </w:rPr>
              <w:t xml:space="preserve">mechanisms to </w:t>
            </w:r>
            <w:r w:rsidR="00AD0DC7" w:rsidRPr="1D39C6B9">
              <w:rPr>
                <w:rFonts w:asciiTheme="majorHAnsi" w:hAnsiTheme="majorHAnsi"/>
              </w:rPr>
              <w:t>provid</w:t>
            </w:r>
            <w:r w:rsidR="4F52AB75" w:rsidRPr="1D39C6B9">
              <w:rPr>
                <w:rFonts w:asciiTheme="majorHAnsi" w:hAnsiTheme="majorHAnsi"/>
              </w:rPr>
              <w:t>e</w:t>
            </w:r>
            <w:r w:rsidR="00AD0DC7" w:rsidRPr="1D39C6B9">
              <w:rPr>
                <w:rFonts w:asciiTheme="majorHAnsi" w:hAnsiTheme="majorHAnsi"/>
              </w:rPr>
              <w:t xml:space="preserve"> practical, problem-solvi</w:t>
            </w:r>
            <w:r w:rsidR="001C627A">
              <w:rPr>
                <w:rFonts w:asciiTheme="majorHAnsi" w:hAnsiTheme="majorHAnsi"/>
              </w:rPr>
              <w:t>ng support for c</w:t>
            </w:r>
            <w:r w:rsidR="00AD0DC7" w:rsidRPr="1D39C6B9">
              <w:rPr>
                <w:rFonts w:asciiTheme="majorHAnsi" w:hAnsiTheme="majorHAnsi"/>
              </w:rPr>
              <w:t>oordinators.</w:t>
            </w:r>
          </w:p>
        </w:tc>
        <w:tc>
          <w:tcPr>
            <w:tcW w:w="3888" w:type="dxa"/>
          </w:tcPr>
          <w:p w14:paraId="28783AD3" w14:textId="0CB10D25" w:rsidR="004E4DDA" w:rsidRPr="009E6132" w:rsidRDefault="27C0A627" w:rsidP="00B036AD">
            <w:pPr>
              <w:rPr>
                <w:rFonts w:asciiTheme="majorHAnsi" w:hAnsiTheme="majorHAnsi"/>
              </w:rPr>
            </w:pPr>
            <w:r w:rsidRPr="3B7F4C78">
              <w:rPr>
                <w:rFonts w:asciiTheme="majorHAnsi" w:hAnsiTheme="majorHAnsi"/>
              </w:rPr>
              <w:t>360 feedback</w:t>
            </w:r>
            <w:r w:rsidR="00B036AD">
              <w:rPr>
                <w:rFonts w:asciiTheme="majorHAnsi" w:hAnsiTheme="majorHAnsi"/>
              </w:rPr>
              <w:t xml:space="preserve">; </w:t>
            </w:r>
            <w:r w:rsidRPr="595B4BE4">
              <w:rPr>
                <w:rFonts w:asciiTheme="majorHAnsi" w:hAnsiTheme="majorHAnsi"/>
              </w:rPr>
              <w:t>Objectives</w:t>
            </w:r>
            <w:r w:rsidR="00B036AD">
              <w:rPr>
                <w:rFonts w:asciiTheme="majorHAnsi" w:hAnsiTheme="majorHAnsi"/>
              </w:rPr>
              <w:t xml:space="preserve">; </w:t>
            </w:r>
            <w:r w:rsidRPr="595B4BE4">
              <w:rPr>
                <w:rFonts w:asciiTheme="majorHAnsi" w:hAnsiTheme="majorHAnsi"/>
              </w:rPr>
              <w:t>Team and directorate charter</w:t>
            </w:r>
          </w:p>
        </w:tc>
      </w:tr>
      <w:tr w:rsidR="004E4DDA" w:rsidRPr="009E6132" w14:paraId="7B9F422C" w14:textId="77777777" w:rsidTr="00E36F55">
        <w:tc>
          <w:tcPr>
            <w:tcW w:w="10060" w:type="dxa"/>
          </w:tcPr>
          <w:p w14:paraId="3ADFCB84" w14:textId="36FDC9DE" w:rsidR="004E4DDA" w:rsidRPr="009E6132" w:rsidRDefault="00AD0DC7" w:rsidP="1D39C6B9">
            <w:pPr>
              <w:rPr>
                <w:rFonts w:asciiTheme="majorHAnsi" w:hAnsiTheme="majorHAnsi"/>
              </w:rPr>
            </w:pPr>
            <w:r w:rsidRPr="1D39C6B9">
              <w:rPr>
                <w:rFonts w:asciiTheme="majorHAnsi" w:hAnsiTheme="majorHAnsi"/>
              </w:rPr>
              <w:t>Support coordinators</w:t>
            </w:r>
            <w:r w:rsidR="66FD6743" w:rsidRPr="1D39C6B9">
              <w:rPr>
                <w:rFonts w:asciiTheme="majorHAnsi" w:hAnsiTheme="majorHAnsi"/>
              </w:rPr>
              <w:t xml:space="preserve"> to understand their service budget enabling</w:t>
            </w:r>
            <w:r w:rsidRPr="1D39C6B9">
              <w:rPr>
                <w:rFonts w:asciiTheme="majorHAnsi" w:hAnsiTheme="majorHAnsi"/>
              </w:rPr>
              <w:t xml:space="preserve"> </w:t>
            </w:r>
            <w:r w:rsidR="004E4DDA" w:rsidRPr="1D39C6B9">
              <w:rPr>
                <w:rFonts w:asciiTheme="majorHAnsi" w:hAnsiTheme="majorHAnsi"/>
              </w:rPr>
              <w:t>service expenditure</w:t>
            </w:r>
            <w:r w:rsidR="5298D482" w:rsidRPr="1D39C6B9">
              <w:rPr>
                <w:rFonts w:asciiTheme="majorHAnsi" w:hAnsiTheme="majorHAnsi"/>
              </w:rPr>
              <w:t xml:space="preserve"> to be in line with these.</w:t>
            </w:r>
          </w:p>
        </w:tc>
        <w:tc>
          <w:tcPr>
            <w:tcW w:w="3888" w:type="dxa"/>
          </w:tcPr>
          <w:p w14:paraId="6981F702" w14:textId="77777777" w:rsidR="004E4DDA" w:rsidRPr="009E6132" w:rsidRDefault="00AD0DC7" w:rsidP="004E4D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Financial compliance reports</w:t>
            </w:r>
          </w:p>
        </w:tc>
      </w:tr>
      <w:tr w:rsidR="004E4DDA" w:rsidRPr="009E6132" w14:paraId="72A2F81E" w14:textId="77777777" w:rsidTr="00E36F55">
        <w:tc>
          <w:tcPr>
            <w:tcW w:w="10060" w:type="dxa"/>
          </w:tcPr>
          <w:p w14:paraId="349DE26F" w14:textId="2A71BBF3" w:rsidR="004E4DDA" w:rsidRPr="009E6132" w:rsidRDefault="08EF4A7B" w:rsidP="1D39C6B9">
            <w:pPr>
              <w:rPr>
                <w:rFonts w:asciiTheme="majorHAnsi" w:hAnsiTheme="majorHAnsi"/>
              </w:rPr>
            </w:pPr>
            <w:r w:rsidRPr="1D39C6B9">
              <w:rPr>
                <w:rFonts w:asciiTheme="majorHAnsi" w:hAnsiTheme="majorHAnsi"/>
              </w:rPr>
              <w:t xml:space="preserve">Support the development of </w:t>
            </w:r>
            <w:r w:rsidR="00AD0DC7" w:rsidRPr="1D39C6B9">
              <w:rPr>
                <w:rFonts w:asciiTheme="majorHAnsi" w:hAnsiTheme="majorHAnsi"/>
              </w:rPr>
              <w:t>high performing and collaborative teams and culture</w:t>
            </w:r>
            <w:r w:rsidR="1B1AA963" w:rsidRPr="1D39C6B9">
              <w:rPr>
                <w:rFonts w:asciiTheme="majorHAnsi" w:hAnsiTheme="majorHAnsi"/>
              </w:rPr>
              <w:t xml:space="preserve"> using coaching principles</w:t>
            </w:r>
            <w:r w:rsidR="00AD0DC7" w:rsidRPr="1D39C6B9">
              <w:rPr>
                <w:rFonts w:asciiTheme="majorHAnsi" w:hAnsiTheme="majorHAnsi"/>
              </w:rPr>
              <w:t xml:space="preserve">. Champion and embed our values and new ways of working. Empower </w:t>
            </w:r>
            <w:r w:rsidR="2F351865" w:rsidRPr="1D39C6B9">
              <w:rPr>
                <w:rFonts w:asciiTheme="majorHAnsi" w:hAnsiTheme="majorHAnsi"/>
              </w:rPr>
              <w:t>coordinators</w:t>
            </w:r>
            <w:r w:rsidR="00AD0DC7" w:rsidRPr="1D39C6B9">
              <w:rPr>
                <w:rFonts w:asciiTheme="majorHAnsi" w:hAnsiTheme="majorHAnsi"/>
              </w:rPr>
              <w:t xml:space="preserve"> to take responsibility for own training, support and supervision, creating a positive leadership environment.</w:t>
            </w:r>
          </w:p>
        </w:tc>
        <w:tc>
          <w:tcPr>
            <w:tcW w:w="3888" w:type="dxa"/>
          </w:tcPr>
          <w:p w14:paraId="4D68E3FF" w14:textId="1B951F6F" w:rsidR="004E4DDA" w:rsidRPr="009E6132" w:rsidRDefault="00AD0DC7" w:rsidP="00E3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360 feedback and supervisions</w:t>
            </w:r>
            <w:r w:rsidR="00E36F55">
              <w:rPr>
                <w:rFonts w:asciiTheme="majorHAnsi" w:hAnsiTheme="majorHAnsi"/>
              </w:rPr>
              <w:t xml:space="preserve">; </w:t>
            </w:r>
            <w:r>
              <w:rPr>
                <w:rFonts w:asciiTheme="majorHAnsi" w:hAnsiTheme="majorHAnsi"/>
              </w:rPr>
              <w:t>Engagement survey</w:t>
            </w:r>
          </w:p>
        </w:tc>
      </w:tr>
      <w:tr w:rsidR="7F9D51FC" w14:paraId="6A8E30F3" w14:textId="77777777" w:rsidTr="00E36F55">
        <w:tc>
          <w:tcPr>
            <w:tcW w:w="10060" w:type="dxa"/>
          </w:tcPr>
          <w:p w14:paraId="08A50B7E" w14:textId="29734C56" w:rsidR="6D8C96E7" w:rsidRDefault="6D8C96E7" w:rsidP="7F9D51FC">
            <w:pPr>
              <w:rPr>
                <w:rFonts w:asciiTheme="minorHAnsi" w:eastAsiaTheme="minorEastAsia" w:hAnsiTheme="minorHAnsi"/>
                <w:szCs w:val="24"/>
              </w:rPr>
            </w:pPr>
            <w:r w:rsidRPr="7F9D51FC">
              <w:rPr>
                <w:rFonts w:asciiTheme="minorHAnsi" w:eastAsiaTheme="minorEastAsia" w:hAnsiTheme="minorHAnsi"/>
                <w:szCs w:val="24"/>
              </w:rPr>
              <w:t>Empowe</w:t>
            </w:r>
            <w:r w:rsidR="3E5CDB01" w:rsidRPr="7F9D51FC">
              <w:rPr>
                <w:rFonts w:asciiTheme="minorHAnsi" w:eastAsiaTheme="minorEastAsia" w:hAnsiTheme="minorHAnsi"/>
                <w:szCs w:val="24"/>
              </w:rPr>
              <w:t xml:space="preserve">r coordinators to identify and share potential donor and fundraising opportunities with colleagues in </w:t>
            </w:r>
            <w:r w:rsidR="31F7C58D" w:rsidRPr="7F9D51FC">
              <w:rPr>
                <w:rFonts w:asciiTheme="minorHAnsi" w:eastAsiaTheme="minorEastAsia" w:hAnsiTheme="minorHAnsi"/>
                <w:szCs w:val="24"/>
              </w:rPr>
              <w:t>I</w:t>
            </w:r>
            <w:r w:rsidR="2000B5F3" w:rsidRPr="7F9D51FC">
              <w:rPr>
                <w:rFonts w:asciiTheme="minorHAnsi" w:eastAsiaTheme="minorEastAsia" w:hAnsiTheme="minorHAnsi"/>
                <w:szCs w:val="24"/>
              </w:rPr>
              <w:t xml:space="preserve">ncome </w:t>
            </w:r>
            <w:r w:rsidR="31F7C58D" w:rsidRPr="7F9D51FC">
              <w:rPr>
                <w:rFonts w:asciiTheme="minorHAnsi" w:eastAsiaTheme="minorEastAsia" w:hAnsiTheme="minorHAnsi"/>
                <w:szCs w:val="24"/>
              </w:rPr>
              <w:t>G</w:t>
            </w:r>
            <w:r w:rsidR="7C8AD98B" w:rsidRPr="7F9D51FC">
              <w:rPr>
                <w:rFonts w:asciiTheme="minorHAnsi" w:eastAsiaTheme="minorEastAsia" w:hAnsiTheme="minorHAnsi"/>
                <w:szCs w:val="24"/>
              </w:rPr>
              <w:t>eneration</w:t>
            </w:r>
            <w:r w:rsidR="646FCAE6" w:rsidRPr="7F9D51FC">
              <w:rPr>
                <w:rFonts w:asciiTheme="minorHAnsi" w:eastAsiaTheme="minorEastAsia" w:hAnsiTheme="minorHAnsi"/>
                <w:szCs w:val="24"/>
              </w:rPr>
              <w:t xml:space="preserve"> to support effective stewardship of relationships</w:t>
            </w:r>
          </w:p>
        </w:tc>
        <w:tc>
          <w:tcPr>
            <w:tcW w:w="3888" w:type="dxa"/>
          </w:tcPr>
          <w:p w14:paraId="7A8D201B" w14:textId="485EECF6" w:rsidR="7F9D51FC" w:rsidRDefault="00B036AD" w:rsidP="7EF24CD8">
            <w:pPr>
              <w:rPr>
                <w:rFonts w:ascii="Oxygen" w:eastAsia="Oxygen" w:hAnsi="Oxygen" w:cs="Oxygen"/>
                <w:szCs w:val="24"/>
              </w:rPr>
            </w:pPr>
            <w:r>
              <w:rPr>
                <w:rFonts w:ascii="Oxygen" w:eastAsia="Oxygen" w:hAnsi="Oxygen" w:cs="Oxygen"/>
                <w:szCs w:val="24"/>
              </w:rPr>
              <w:t>Objectives;</w:t>
            </w:r>
            <w:r w:rsidR="7425BEC2" w:rsidRPr="7EF24CD8">
              <w:rPr>
                <w:rFonts w:ascii="Oxygen" w:eastAsia="Oxygen" w:hAnsi="Oxygen" w:cs="Oxygen"/>
                <w:szCs w:val="24"/>
              </w:rPr>
              <w:t xml:space="preserve"> 360 feedback</w:t>
            </w:r>
          </w:p>
          <w:p w14:paraId="63A96148" w14:textId="508F9EF9" w:rsidR="7F9D51FC" w:rsidRDefault="7F9D51FC" w:rsidP="7F9D51FC">
            <w:pPr>
              <w:rPr>
                <w:rFonts w:eastAsia="Oxygen"/>
                <w:szCs w:val="24"/>
              </w:rPr>
            </w:pPr>
          </w:p>
        </w:tc>
      </w:tr>
      <w:tr w:rsidR="06B921B8" w14:paraId="68499467" w14:textId="77777777" w:rsidTr="00E36F55">
        <w:tc>
          <w:tcPr>
            <w:tcW w:w="10060" w:type="dxa"/>
          </w:tcPr>
          <w:p w14:paraId="13D68E4D" w14:textId="6BD58E3E" w:rsidR="0FABB29F" w:rsidRDefault="0FABB29F" w:rsidP="06B921B8">
            <w:pPr>
              <w:rPr>
                <w:rFonts w:asciiTheme="minorHAnsi" w:eastAsiaTheme="minorEastAsia" w:hAnsiTheme="minorHAnsi"/>
                <w:szCs w:val="24"/>
              </w:rPr>
            </w:pPr>
            <w:r w:rsidRPr="1D39C6B9">
              <w:rPr>
                <w:rFonts w:asciiTheme="minorHAnsi" w:eastAsiaTheme="minorEastAsia" w:hAnsiTheme="minorHAnsi"/>
                <w:szCs w:val="24"/>
              </w:rPr>
              <w:t xml:space="preserve">To ensure effective people management practices </w:t>
            </w:r>
            <w:r w:rsidR="4E5097D0" w:rsidRPr="1D39C6B9">
              <w:rPr>
                <w:rFonts w:asciiTheme="minorHAnsi" w:eastAsiaTheme="minorEastAsia" w:hAnsiTheme="minorHAnsi"/>
                <w:szCs w:val="24"/>
              </w:rPr>
              <w:t xml:space="preserve">are put in place and </w:t>
            </w:r>
            <w:r w:rsidRPr="1D39C6B9">
              <w:rPr>
                <w:rFonts w:asciiTheme="minorHAnsi" w:eastAsiaTheme="minorEastAsia" w:hAnsiTheme="minorHAnsi"/>
                <w:szCs w:val="24"/>
              </w:rPr>
              <w:t>carried out</w:t>
            </w:r>
            <w:r w:rsidR="0DFFE103" w:rsidRPr="1D39C6B9">
              <w:rPr>
                <w:rFonts w:asciiTheme="minorHAnsi" w:eastAsiaTheme="minorEastAsia" w:hAnsiTheme="minorHAnsi"/>
                <w:szCs w:val="24"/>
              </w:rPr>
              <w:t xml:space="preserve"> </w:t>
            </w:r>
            <w:r w:rsidRPr="1D39C6B9">
              <w:rPr>
                <w:rFonts w:asciiTheme="minorHAnsi" w:eastAsiaTheme="minorEastAsia" w:hAnsiTheme="minorHAnsi"/>
                <w:szCs w:val="24"/>
              </w:rPr>
              <w:t>in line with our competency framework</w:t>
            </w:r>
            <w:r w:rsidR="0AD72350" w:rsidRPr="1D39C6B9">
              <w:rPr>
                <w:rFonts w:asciiTheme="minorHAnsi" w:eastAsiaTheme="minorEastAsia" w:hAnsiTheme="minorHAnsi"/>
                <w:szCs w:val="24"/>
              </w:rPr>
              <w:t>.</w:t>
            </w:r>
          </w:p>
        </w:tc>
        <w:tc>
          <w:tcPr>
            <w:tcW w:w="3888" w:type="dxa"/>
          </w:tcPr>
          <w:p w14:paraId="18FFA12B" w14:textId="4A344C65" w:rsidR="5A82E22C" w:rsidRDefault="00B036AD" w:rsidP="7EF24CD8">
            <w:pPr>
              <w:rPr>
                <w:rFonts w:asciiTheme="majorHAnsi" w:eastAsiaTheme="majorEastAsia" w:hAnsiTheme="majorHAnsi" w:cstheme="majorBidi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Cs w:val="24"/>
              </w:rPr>
              <w:t>Competency framework;</w:t>
            </w:r>
            <w:r w:rsidR="58EAC80D" w:rsidRPr="7EF24CD8">
              <w:rPr>
                <w:rFonts w:asciiTheme="majorHAnsi" w:eastAsiaTheme="majorEastAsia" w:hAnsiTheme="majorHAnsi" w:cstheme="majorBidi"/>
                <w:szCs w:val="24"/>
              </w:rPr>
              <w:t xml:space="preserve"> 360 </w:t>
            </w:r>
            <w:r>
              <w:rPr>
                <w:rFonts w:asciiTheme="majorHAnsi" w:eastAsiaTheme="majorEastAsia" w:hAnsiTheme="majorHAnsi" w:cstheme="majorBidi"/>
                <w:szCs w:val="24"/>
              </w:rPr>
              <w:t>feedback; O</w:t>
            </w:r>
            <w:r w:rsidR="58EAC80D" w:rsidRPr="7EF24CD8">
              <w:rPr>
                <w:rFonts w:asciiTheme="majorHAnsi" w:eastAsiaTheme="majorEastAsia" w:hAnsiTheme="majorHAnsi" w:cstheme="majorBidi"/>
                <w:szCs w:val="24"/>
              </w:rPr>
              <w:t>bjectives</w:t>
            </w:r>
          </w:p>
        </w:tc>
      </w:tr>
      <w:tr w:rsidR="26E18FD8" w14:paraId="1FDBC6EC" w14:textId="77777777" w:rsidTr="00E36F55">
        <w:tc>
          <w:tcPr>
            <w:tcW w:w="10060" w:type="dxa"/>
          </w:tcPr>
          <w:p w14:paraId="4B8751AB" w14:textId="1DD08F9B" w:rsidR="1B9FEA99" w:rsidRDefault="1B9FEA99" w:rsidP="26E18FD8">
            <w:pPr>
              <w:rPr>
                <w:rFonts w:asciiTheme="minorHAnsi" w:eastAsiaTheme="minorEastAsia" w:hAnsiTheme="minorHAnsi"/>
                <w:szCs w:val="24"/>
              </w:rPr>
            </w:pPr>
            <w:r w:rsidRPr="595B4BE4">
              <w:rPr>
                <w:rFonts w:asciiTheme="minorHAnsi" w:eastAsiaTheme="minorEastAsia" w:hAnsiTheme="minorHAnsi"/>
                <w:szCs w:val="24"/>
              </w:rPr>
              <w:t>Encourage and support</w:t>
            </w:r>
            <w:r w:rsidR="35BBF432" w:rsidRPr="595B4BE4">
              <w:rPr>
                <w:rFonts w:asciiTheme="minorHAnsi" w:eastAsiaTheme="minorEastAsia" w:hAnsiTheme="minorHAnsi"/>
                <w:szCs w:val="24"/>
              </w:rPr>
              <w:t xml:space="preserve"> coordinators to source stories of lived </w:t>
            </w:r>
            <w:r w:rsidR="7460D963" w:rsidRPr="595B4BE4">
              <w:rPr>
                <w:rFonts w:asciiTheme="minorHAnsi" w:eastAsiaTheme="minorEastAsia" w:hAnsiTheme="minorHAnsi"/>
                <w:szCs w:val="24"/>
              </w:rPr>
              <w:t>experience</w:t>
            </w:r>
            <w:r w:rsidR="35BBF432" w:rsidRPr="595B4BE4">
              <w:rPr>
                <w:rFonts w:asciiTheme="minorHAnsi" w:eastAsiaTheme="minorEastAsia" w:hAnsiTheme="minorHAnsi"/>
                <w:szCs w:val="24"/>
              </w:rPr>
              <w:t xml:space="preserve"> and work with colleagues in Customer </w:t>
            </w:r>
            <w:r w:rsidR="51BBDBE0" w:rsidRPr="595B4BE4">
              <w:rPr>
                <w:rFonts w:asciiTheme="minorHAnsi" w:eastAsiaTheme="minorEastAsia" w:hAnsiTheme="minorHAnsi"/>
                <w:szCs w:val="24"/>
              </w:rPr>
              <w:t>Experience</w:t>
            </w:r>
            <w:r w:rsidR="35BBF432" w:rsidRPr="595B4BE4">
              <w:rPr>
                <w:rFonts w:asciiTheme="minorHAnsi" w:eastAsiaTheme="minorEastAsia" w:hAnsiTheme="minorHAnsi"/>
                <w:szCs w:val="24"/>
              </w:rPr>
              <w:t xml:space="preserve">, Systems </w:t>
            </w:r>
            <w:r w:rsidR="150FBF87" w:rsidRPr="595B4BE4">
              <w:rPr>
                <w:rFonts w:asciiTheme="minorHAnsi" w:eastAsiaTheme="minorEastAsia" w:hAnsiTheme="minorHAnsi"/>
                <w:szCs w:val="24"/>
              </w:rPr>
              <w:t>Engagement</w:t>
            </w:r>
            <w:r w:rsidR="35BBF432" w:rsidRPr="595B4BE4">
              <w:rPr>
                <w:rFonts w:asciiTheme="minorHAnsi" w:eastAsiaTheme="minorEastAsia" w:hAnsiTheme="minorHAnsi"/>
                <w:szCs w:val="24"/>
              </w:rPr>
              <w:t xml:space="preserve"> and </w:t>
            </w:r>
            <w:r w:rsidR="1967A3B0" w:rsidRPr="595B4BE4">
              <w:rPr>
                <w:rFonts w:asciiTheme="minorHAnsi" w:eastAsiaTheme="minorEastAsia" w:hAnsiTheme="minorHAnsi"/>
                <w:szCs w:val="24"/>
              </w:rPr>
              <w:t>Influencing</w:t>
            </w:r>
            <w:r w:rsidR="35BBF432" w:rsidRPr="595B4BE4">
              <w:rPr>
                <w:rFonts w:asciiTheme="minorHAnsi" w:eastAsiaTheme="minorEastAsia" w:hAnsiTheme="minorHAnsi"/>
                <w:szCs w:val="24"/>
              </w:rPr>
              <w:t xml:space="preserve"> to ensure the</w:t>
            </w:r>
            <w:r w:rsidR="04BC7571" w:rsidRPr="595B4BE4">
              <w:rPr>
                <w:rFonts w:asciiTheme="minorHAnsi" w:eastAsiaTheme="minorEastAsia" w:hAnsiTheme="minorHAnsi"/>
                <w:szCs w:val="24"/>
              </w:rPr>
              <w:t>se stories</w:t>
            </w:r>
            <w:r w:rsidR="35BBF432" w:rsidRPr="595B4BE4">
              <w:rPr>
                <w:rFonts w:asciiTheme="minorHAnsi" w:eastAsiaTheme="minorEastAsia" w:hAnsiTheme="minorHAnsi"/>
                <w:szCs w:val="24"/>
              </w:rPr>
              <w:t xml:space="preserve"> </w:t>
            </w:r>
            <w:r w:rsidR="5623014F" w:rsidRPr="595B4BE4">
              <w:rPr>
                <w:rFonts w:asciiTheme="minorHAnsi" w:eastAsiaTheme="minorEastAsia" w:hAnsiTheme="minorHAnsi"/>
                <w:szCs w:val="24"/>
              </w:rPr>
              <w:t xml:space="preserve">are </w:t>
            </w:r>
            <w:r w:rsidR="35BBF432" w:rsidRPr="595B4BE4">
              <w:rPr>
                <w:rFonts w:asciiTheme="minorHAnsi" w:eastAsiaTheme="minorEastAsia" w:hAnsiTheme="minorHAnsi"/>
                <w:szCs w:val="24"/>
              </w:rPr>
              <w:t xml:space="preserve">heard </w:t>
            </w:r>
            <w:r w:rsidR="5F781480" w:rsidRPr="595B4BE4">
              <w:rPr>
                <w:rFonts w:asciiTheme="minorHAnsi" w:eastAsiaTheme="minorEastAsia" w:hAnsiTheme="minorHAnsi"/>
                <w:szCs w:val="24"/>
              </w:rPr>
              <w:t>externally</w:t>
            </w:r>
            <w:r w:rsidR="08AF7B42" w:rsidRPr="595B4BE4">
              <w:rPr>
                <w:rFonts w:asciiTheme="minorHAnsi" w:eastAsiaTheme="minorEastAsia" w:hAnsiTheme="minorHAnsi"/>
                <w:szCs w:val="24"/>
              </w:rPr>
              <w:t xml:space="preserve"> by decision-makers</w:t>
            </w:r>
            <w:r w:rsidR="5F781480" w:rsidRPr="595B4BE4">
              <w:rPr>
                <w:rFonts w:asciiTheme="minorHAnsi" w:eastAsiaTheme="minorEastAsia" w:hAnsiTheme="minorHAnsi"/>
                <w:szCs w:val="24"/>
              </w:rPr>
              <w:t>.</w:t>
            </w:r>
          </w:p>
        </w:tc>
        <w:tc>
          <w:tcPr>
            <w:tcW w:w="3888" w:type="dxa"/>
          </w:tcPr>
          <w:p w14:paraId="18CA5E2D" w14:textId="48FF461C" w:rsidR="38E822D7" w:rsidRDefault="00B036AD" w:rsidP="7EF24CD8">
            <w:pPr>
              <w:rPr>
                <w:rFonts w:ascii="Oxygen" w:eastAsia="Oxygen" w:hAnsi="Oxygen" w:cs="Oxygen"/>
                <w:szCs w:val="24"/>
              </w:rPr>
            </w:pPr>
            <w:r>
              <w:rPr>
                <w:rFonts w:ascii="Oxygen" w:eastAsia="Oxygen" w:hAnsi="Oxygen" w:cs="Oxygen"/>
                <w:szCs w:val="24"/>
              </w:rPr>
              <w:t>Objectives;</w:t>
            </w:r>
            <w:r w:rsidR="288D7517" w:rsidRPr="7EF24CD8">
              <w:rPr>
                <w:rFonts w:ascii="Oxygen" w:eastAsia="Oxygen" w:hAnsi="Oxygen" w:cs="Oxygen"/>
                <w:szCs w:val="24"/>
              </w:rPr>
              <w:t xml:space="preserve"> 360 feedback</w:t>
            </w:r>
          </w:p>
        </w:tc>
      </w:tr>
    </w:tbl>
    <w:p w14:paraId="5DAB6C7B" w14:textId="77777777" w:rsidR="00955C3A" w:rsidRDefault="00955C3A" w:rsidP="009E6132">
      <w:pPr>
        <w:spacing w:after="0" w:line="240" w:lineRule="auto"/>
        <w:rPr>
          <w:rFonts w:asciiTheme="majorHAnsi" w:hAnsiTheme="majorHAnsi"/>
        </w:rPr>
      </w:pPr>
    </w:p>
    <w:p w14:paraId="02EB378F" w14:textId="77777777" w:rsidR="00AD0DC7" w:rsidRDefault="00AD0DC7" w:rsidP="009E6132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365C67" w:rsidRPr="00872CEE" w14:paraId="689EB19D" w14:textId="77777777" w:rsidTr="00DE6DB9">
        <w:tc>
          <w:tcPr>
            <w:tcW w:w="14029" w:type="dxa"/>
            <w:shd w:val="clear" w:color="auto" w:fill="D4BCF5" w:themeFill="accent1" w:themeFillTint="33"/>
          </w:tcPr>
          <w:p w14:paraId="7EAA5C2A" w14:textId="78018B65" w:rsidR="00365C67" w:rsidRPr="00872CEE" w:rsidRDefault="00365C67" w:rsidP="00B14B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 Specification</w:t>
            </w:r>
          </w:p>
        </w:tc>
      </w:tr>
      <w:tr w:rsidR="00365C67" w:rsidRPr="00272969" w14:paraId="3D7D52EC" w14:textId="77777777" w:rsidTr="00DE6DB9">
        <w:tc>
          <w:tcPr>
            <w:tcW w:w="14029" w:type="dxa"/>
          </w:tcPr>
          <w:p w14:paraId="48645625" w14:textId="77777777" w:rsidR="00365C67" w:rsidRDefault="00365C67" w:rsidP="00365C67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 w:rsidRPr="7EF24CD8">
              <w:rPr>
                <w:rFonts w:asciiTheme="majorHAnsi" w:eastAsiaTheme="majorEastAsia" w:hAnsiTheme="majorHAnsi" w:cstheme="majorBidi"/>
              </w:rPr>
              <w:t xml:space="preserve">Experience supporting remote teams with paid staff and volunteers and experience in growing and developing these teams using a coaching style of management </w:t>
            </w:r>
          </w:p>
          <w:p w14:paraId="4C49945F" w14:textId="77777777" w:rsidR="00365C67" w:rsidRDefault="00365C67" w:rsidP="00365C67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 w:rsidRPr="7EF24CD8">
              <w:rPr>
                <w:rFonts w:asciiTheme="majorHAnsi" w:eastAsiaTheme="majorEastAsia" w:hAnsiTheme="majorHAnsi" w:cstheme="majorBidi"/>
              </w:rPr>
              <w:t>Knowledge and awareness of health and social care systems, ideally within the stroke pathway</w:t>
            </w:r>
          </w:p>
          <w:p w14:paraId="3DCDCC90" w14:textId="77777777" w:rsidR="00365C67" w:rsidRDefault="00365C67" w:rsidP="00365C67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 w:rsidRPr="7EF24CD8">
              <w:rPr>
                <w:rFonts w:asciiTheme="majorHAnsi" w:eastAsiaTheme="majorEastAsia" w:hAnsiTheme="majorHAnsi" w:cstheme="majorBidi"/>
              </w:rPr>
              <w:t>Experience of coaching in a variety of settings with a track record of developing motivated and confident teams</w:t>
            </w:r>
          </w:p>
          <w:p w14:paraId="1B2D982A" w14:textId="77777777" w:rsidR="00365C67" w:rsidRDefault="00365C67" w:rsidP="00365C67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 w:rsidRPr="7EF24CD8">
              <w:rPr>
                <w:rFonts w:asciiTheme="majorHAnsi" w:eastAsiaTheme="majorEastAsia" w:hAnsiTheme="majorHAnsi" w:cstheme="majorBidi"/>
              </w:rPr>
              <w:t xml:space="preserve">Knowledge of key policies including GDPR, Safeguarding and health and safety, </w:t>
            </w:r>
          </w:p>
          <w:p w14:paraId="3F3353A8" w14:textId="77777777" w:rsidR="00365C67" w:rsidRDefault="00365C67" w:rsidP="00365C67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 w:rsidRPr="7EF24CD8">
              <w:rPr>
                <w:rFonts w:asciiTheme="majorHAnsi" w:eastAsiaTheme="majorEastAsia" w:hAnsiTheme="majorHAnsi" w:cstheme="majorBidi"/>
              </w:rPr>
              <w:t xml:space="preserve">Experience in managing performance improvement </w:t>
            </w:r>
          </w:p>
          <w:p w14:paraId="2F1D2A0D" w14:textId="77777777" w:rsidR="00365C67" w:rsidRDefault="00365C67" w:rsidP="00365C67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 w:rsidRPr="7EF24CD8">
              <w:rPr>
                <w:rFonts w:asciiTheme="majorHAnsi" w:eastAsiaTheme="majorEastAsia" w:hAnsiTheme="majorHAnsi" w:cstheme="majorBidi"/>
              </w:rPr>
              <w:t>Experience of championing diver</w:t>
            </w:r>
            <w:r>
              <w:rPr>
                <w:rFonts w:asciiTheme="majorHAnsi" w:eastAsiaTheme="majorEastAsia" w:hAnsiTheme="majorHAnsi" w:cstheme="majorBidi"/>
              </w:rPr>
              <w:t>sity internally and externally</w:t>
            </w:r>
          </w:p>
          <w:p w14:paraId="0CE2FC48" w14:textId="77777777" w:rsidR="00365C67" w:rsidRDefault="00365C67" w:rsidP="00365C67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 w:rsidRPr="7EF24CD8">
              <w:rPr>
                <w:rFonts w:asciiTheme="majorHAnsi" w:eastAsiaTheme="majorEastAsia" w:hAnsiTheme="majorHAnsi" w:cstheme="majorBidi"/>
              </w:rPr>
              <w:t>Ability to effectively balance a number of competing priorities, demonstrating good prioritisation, timekeeping and decision making skills</w:t>
            </w:r>
          </w:p>
          <w:p w14:paraId="7AF51B89" w14:textId="77777777" w:rsidR="00365C67" w:rsidRDefault="00365C67" w:rsidP="00365C67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 w:rsidRPr="7EF24CD8">
              <w:rPr>
                <w:rFonts w:asciiTheme="majorHAnsi" w:eastAsiaTheme="majorEastAsia" w:hAnsiTheme="majorHAnsi" w:cstheme="majorBidi"/>
              </w:rPr>
              <w:t>Excellent IT skills</w:t>
            </w:r>
          </w:p>
          <w:p w14:paraId="282E5E9E" w14:textId="77777777" w:rsidR="00365C67" w:rsidRDefault="00365C67" w:rsidP="00365C67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 w:rsidRPr="7EF24CD8">
              <w:rPr>
                <w:rFonts w:asciiTheme="majorHAnsi" w:eastAsiaTheme="majorEastAsia" w:hAnsiTheme="majorHAnsi" w:cstheme="majorBidi"/>
              </w:rPr>
              <w:t>Excellent communication skills, including those most aligned with coaching principles</w:t>
            </w:r>
          </w:p>
          <w:p w14:paraId="2B10C5B4" w14:textId="59DF3349" w:rsidR="00365C67" w:rsidRPr="00DE6DB9" w:rsidRDefault="00365C67" w:rsidP="00B14BE8">
            <w:pPr>
              <w:rPr>
                <w:rFonts w:asciiTheme="majorHAnsi" w:hAnsiTheme="majorHAnsi"/>
              </w:rPr>
            </w:pPr>
          </w:p>
        </w:tc>
      </w:tr>
    </w:tbl>
    <w:p w14:paraId="5A39BBE3" w14:textId="55431532" w:rsidR="00AD0DC7" w:rsidRPr="00B97A53" w:rsidRDefault="00AD0DC7" w:rsidP="00B97A53">
      <w:pPr>
        <w:rPr>
          <w:rFonts w:asciiTheme="majorHAnsi" w:eastAsiaTheme="majorEastAsia" w:hAnsiTheme="majorHAnsi" w:cstheme="majorBidi"/>
        </w:rPr>
      </w:pPr>
    </w:p>
    <w:sectPr w:rsidR="00AD0DC7" w:rsidRPr="00B97A53" w:rsidSect="00955C3A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98C1D" w14:textId="77777777" w:rsidR="003A3A6A" w:rsidRDefault="003A3A6A" w:rsidP="00230707">
      <w:pPr>
        <w:spacing w:after="0" w:line="240" w:lineRule="auto"/>
      </w:pPr>
      <w:r>
        <w:separator/>
      </w:r>
    </w:p>
  </w:endnote>
  <w:endnote w:type="continuationSeparator" w:id="0">
    <w:p w14:paraId="3E6E53F9" w14:textId="77777777" w:rsidR="003A3A6A" w:rsidRDefault="003A3A6A" w:rsidP="0023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xygen">
    <w:altName w:val="Cambria Math"/>
    <w:charset w:val="4D"/>
    <w:family w:val="auto"/>
    <w:pitch w:val="variable"/>
    <w:sig w:usb0="00000001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06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68469" w14:textId="3A5B2D75" w:rsidR="00230707" w:rsidRDefault="002307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8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0BA0C" w14:textId="77777777" w:rsidR="003A3A6A" w:rsidRDefault="003A3A6A" w:rsidP="00230707">
      <w:pPr>
        <w:spacing w:after="0" w:line="240" w:lineRule="auto"/>
      </w:pPr>
      <w:r>
        <w:separator/>
      </w:r>
    </w:p>
  </w:footnote>
  <w:footnote w:type="continuationSeparator" w:id="0">
    <w:p w14:paraId="24FCB754" w14:textId="77777777" w:rsidR="003A3A6A" w:rsidRDefault="003A3A6A" w:rsidP="0023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614E" w14:textId="2135599E" w:rsidR="00230707" w:rsidRPr="00F509DF" w:rsidRDefault="6484D402">
    <w:pPr>
      <w:pStyle w:val="Header"/>
      <w:rPr>
        <w:rFonts w:asciiTheme="minorHAnsi" w:hAnsiTheme="minorHAnsi"/>
        <w:b/>
      </w:rPr>
    </w:pPr>
    <w:r>
      <w:t xml:space="preserve"> </w:t>
    </w:r>
    <w:r w:rsidRPr="6484D402">
      <w:rPr>
        <w:rFonts w:asciiTheme="minorHAnsi" w:hAnsiTheme="minorHAnsi"/>
        <w:b/>
        <w:bCs/>
        <w:sz w:val="32"/>
        <w:szCs w:val="32"/>
      </w:rPr>
      <w:t xml:space="preserve">Role Profile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3686"/>
    <w:multiLevelType w:val="hybridMultilevel"/>
    <w:tmpl w:val="A7306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75A7A"/>
    <w:multiLevelType w:val="hybridMultilevel"/>
    <w:tmpl w:val="A3FA198E"/>
    <w:lvl w:ilvl="0" w:tplc="C564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C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45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4B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C4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20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4B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27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A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0987"/>
    <w:multiLevelType w:val="hybridMultilevel"/>
    <w:tmpl w:val="4DDECE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3A"/>
    <w:rsid w:val="000201B7"/>
    <w:rsid w:val="00032A63"/>
    <w:rsid w:val="00056CF0"/>
    <w:rsid w:val="0012702A"/>
    <w:rsid w:val="001C627A"/>
    <w:rsid w:val="00230707"/>
    <w:rsid w:val="00272969"/>
    <w:rsid w:val="00282CF1"/>
    <w:rsid w:val="0032169D"/>
    <w:rsid w:val="00365C67"/>
    <w:rsid w:val="003A3A6A"/>
    <w:rsid w:val="003C7978"/>
    <w:rsid w:val="003F6264"/>
    <w:rsid w:val="00437C3F"/>
    <w:rsid w:val="00442F4F"/>
    <w:rsid w:val="004436D6"/>
    <w:rsid w:val="004556FE"/>
    <w:rsid w:val="00460F5B"/>
    <w:rsid w:val="0049758D"/>
    <w:rsid w:val="004E4DDA"/>
    <w:rsid w:val="0054335C"/>
    <w:rsid w:val="005B0A17"/>
    <w:rsid w:val="005B486A"/>
    <w:rsid w:val="00621B81"/>
    <w:rsid w:val="006946F9"/>
    <w:rsid w:val="006A4F65"/>
    <w:rsid w:val="00700FF7"/>
    <w:rsid w:val="00747E28"/>
    <w:rsid w:val="007604C5"/>
    <w:rsid w:val="007D64FD"/>
    <w:rsid w:val="007D751B"/>
    <w:rsid w:val="00831AAC"/>
    <w:rsid w:val="00872CEE"/>
    <w:rsid w:val="0087637E"/>
    <w:rsid w:val="0094545E"/>
    <w:rsid w:val="00955C3A"/>
    <w:rsid w:val="009E6132"/>
    <w:rsid w:val="00A05CFC"/>
    <w:rsid w:val="00A1026B"/>
    <w:rsid w:val="00A876D6"/>
    <w:rsid w:val="00AC7D63"/>
    <w:rsid w:val="00AD0DC7"/>
    <w:rsid w:val="00AF213C"/>
    <w:rsid w:val="00B036AD"/>
    <w:rsid w:val="00B25D7A"/>
    <w:rsid w:val="00B97A53"/>
    <w:rsid w:val="00BA5D99"/>
    <w:rsid w:val="00C10DE7"/>
    <w:rsid w:val="00C14D1C"/>
    <w:rsid w:val="00C17237"/>
    <w:rsid w:val="00C3E850"/>
    <w:rsid w:val="00C75733"/>
    <w:rsid w:val="00CD4369"/>
    <w:rsid w:val="00D253F8"/>
    <w:rsid w:val="00D60D5D"/>
    <w:rsid w:val="00D86024"/>
    <w:rsid w:val="00DC2EB8"/>
    <w:rsid w:val="00DE6DB9"/>
    <w:rsid w:val="00DF16C2"/>
    <w:rsid w:val="00E36F55"/>
    <w:rsid w:val="00E66C5D"/>
    <w:rsid w:val="00E80FB1"/>
    <w:rsid w:val="00EE1888"/>
    <w:rsid w:val="00F31D31"/>
    <w:rsid w:val="00F35147"/>
    <w:rsid w:val="00F3602C"/>
    <w:rsid w:val="00F509DF"/>
    <w:rsid w:val="00F622E3"/>
    <w:rsid w:val="00F71613"/>
    <w:rsid w:val="00F96F88"/>
    <w:rsid w:val="00FC5FB6"/>
    <w:rsid w:val="011D5300"/>
    <w:rsid w:val="02771C00"/>
    <w:rsid w:val="03479D50"/>
    <w:rsid w:val="04139E90"/>
    <w:rsid w:val="04B48B1F"/>
    <w:rsid w:val="04BC7571"/>
    <w:rsid w:val="0533845C"/>
    <w:rsid w:val="05AF6EF1"/>
    <w:rsid w:val="06058EEC"/>
    <w:rsid w:val="06399056"/>
    <w:rsid w:val="06B921B8"/>
    <w:rsid w:val="073DE91A"/>
    <w:rsid w:val="07AAF4AB"/>
    <w:rsid w:val="0883BB13"/>
    <w:rsid w:val="08AF7B42"/>
    <w:rsid w:val="08EF4A7B"/>
    <w:rsid w:val="09B6DED4"/>
    <w:rsid w:val="0A9D15D0"/>
    <w:rsid w:val="0AD72350"/>
    <w:rsid w:val="0AE181F5"/>
    <w:rsid w:val="0C5095C5"/>
    <w:rsid w:val="0C91EDA0"/>
    <w:rsid w:val="0CF22DB7"/>
    <w:rsid w:val="0DD4B692"/>
    <w:rsid w:val="0DFFE103"/>
    <w:rsid w:val="0E552871"/>
    <w:rsid w:val="0F876D4D"/>
    <w:rsid w:val="0FABB29F"/>
    <w:rsid w:val="111AE5E5"/>
    <w:rsid w:val="1232473E"/>
    <w:rsid w:val="1432ED53"/>
    <w:rsid w:val="150CE1CD"/>
    <w:rsid w:val="150FBF87"/>
    <w:rsid w:val="152A9187"/>
    <w:rsid w:val="15DE4FAE"/>
    <w:rsid w:val="15ED546E"/>
    <w:rsid w:val="1616FA49"/>
    <w:rsid w:val="1967A3B0"/>
    <w:rsid w:val="1968BD2F"/>
    <w:rsid w:val="19C9E5FE"/>
    <w:rsid w:val="1A0B2C2C"/>
    <w:rsid w:val="1AFED71C"/>
    <w:rsid w:val="1B1AA963"/>
    <w:rsid w:val="1B9FEA99"/>
    <w:rsid w:val="1BC9BE6F"/>
    <w:rsid w:val="1BF079F5"/>
    <w:rsid w:val="1D39C6B9"/>
    <w:rsid w:val="1E11463A"/>
    <w:rsid w:val="1F389853"/>
    <w:rsid w:val="1F7B0E57"/>
    <w:rsid w:val="2000B5F3"/>
    <w:rsid w:val="202B094B"/>
    <w:rsid w:val="21444CE4"/>
    <w:rsid w:val="2175A8B9"/>
    <w:rsid w:val="22731C75"/>
    <w:rsid w:val="22E01D45"/>
    <w:rsid w:val="232FB43A"/>
    <w:rsid w:val="243B4906"/>
    <w:rsid w:val="24B3C87E"/>
    <w:rsid w:val="25286D20"/>
    <w:rsid w:val="252BE89A"/>
    <w:rsid w:val="255F1981"/>
    <w:rsid w:val="25C62A48"/>
    <w:rsid w:val="26E18FD8"/>
    <w:rsid w:val="278AF764"/>
    <w:rsid w:val="27C0A627"/>
    <w:rsid w:val="288631DB"/>
    <w:rsid w:val="288D7517"/>
    <w:rsid w:val="28BD5417"/>
    <w:rsid w:val="2A17D696"/>
    <w:rsid w:val="2A3A9831"/>
    <w:rsid w:val="2CC9E7E4"/>
    <w:rsid w:val="2D1AA4F7"/>
    <w:rsid w:val="2E410E18"/>
    <w:rsid w:val="2E5D51C5"/>
    <w:rsid w:val="2F351865"/>
    <w:rsid w:val="2F991FA7"/>
    <w:rsid w:val="31F7C58D"/>
    <w:rsid w:val="329F1B50"/>
    <w:rsid w:val="333252FF"/>
    <w:rsid w:val="33EA0402"/>
    <w:rsid w:val="34F5E4EC"/>
    <w:rsid w:val="35372F7F"/>
    <w:rsid w:val="35456AF3"/>
    <w:rsid w:val="354B8C86"/>
    <w:rsid w:val="3559502A"/>
    <w:rsid w:val="35BBF432"/>
    <w:rsid w:val="361F97A1"/>
    <w:rsid w:val="37012F7A"/>
    <w:rsid w:val="374843CA"/>
    <w:rsid w:val="3851DD7F"/>
    <w:rsid w:val="38E822D7"/>
    <w:rsid w:val="3B7F4C78"/>
    <w:rsid w:val="3C37FE40"/>
    <w:rsid w:val="3C5692F8"/>
    <w:rsid w:val="3D4A4FBF"/>
    <w:rsid w:val="3D84E457"/>
    <w:rsid w:val="3DAB29FB"/>
    <w:rsid w:val="3DDCB06F"/>
    <w:rsid w:val="3E5CDB01"/>
    <w:rsid w:val="408EE963"/>
    <w:rsid w:val="41A635B6"/>
    <w:rsid w:val="429B92C8"/>
    <w:rsid w:val="43AB24F6"/>
    <w:rsid w:val="43B37987"/>
    <w:rsid w:val="46F706A0"/>
    <w:rsid w:val="4860ECA2"/>
    <w:rsid w:val="4A74F36E"/>
    <w:rsid w:val="4AC0D9C9"/>
    <w:rsid w:val="4B2FC09E"/>
    <w:rsid w:val="4CDC8E21"/>
    <w:rsid w:val="4E195E9D"/>
    <w:rsid w:val="4E4C6480"/>
    <w:rsid w:val="4E5097D0"/>
    <w:rsid w:val="4F52AB75"/>
    <w:rsid w:val="4F697F01"/>
    <w:rsid w:val="510FBAB3"/>
    <w:rsid w:val="518A4A22"/>
    <w:rsid w:val="51BBDBE0"/>
    <w:rsid w:val="51F35A2D"/>
    <w:rsid w:val="5269405E"/>
    <w:rsid w:val="5298D482"/>
    <w:rsid w:val="555DB099"/>
    <w:rsid w:val="55A9BEC2"/>
    <w:rsid w:val="5623014F"/>
    <w:rsid w:val="5659A9F0"/>
    <w:rsid w:val="578457AB"/>
    <w:rsid w:val="57F57A51"/>
    <w:rsid w:val="587795D3"/>
    <w:rsid w:val="58BF5985"/>
    <w:rsid w:val="58EAC80D"/>
    <w:rsid w:val="58F7345D"/>
    <w:rsid w:val="595B4BE4"/>
    <w:rsid w:val="5980F934"/>
    <w:rsid w:val="59EFF383"/>
    <w:rsid w:val="5A3A8D48"/>
    <w:rsid w:val="5A82E22C"/>
    <w:rsid w:val="5A9304BE"/>
    <w:rsid w:val="5A95EC4F"/>
    <w:rsid w:val="5AC893C4"/>
    <w:rsid w:val="5C117689"/>
    <w:rsid w:val="5CC01D98"/>
    <w:rsid w:val="5D66C7C5"/>
    <w:rsid w:val="5E4802D8"/>
    <w:rsid w:val="5E605EFA"/>
    <w:rsid w:val="5F781480"/>
    <w:rsid w:val="60B13970"/>
    <w:rsid w:val="615B726E"/>
    <w:rsid w:val="6197209B"/>
    <w:rsid w:val="62519B2F"/>
    <w:rsid w:val="630BE333"/>
    <w:rsid w:val="646FCAE6"/>
    <w:rsid w:val="6484D402"/>
    <w:rsid w:val="663A731F"/>
    <w:rsid w:val="665757A3"/>
    <w:rsid w:val="66674840"/>
    <w:rsid w:val="668AC424"/>
    <w:rsid w:val="66FD6743"/>
    <w:rsid w:val="675F8468"/>
    <w:rsid w:val="684F7C5B"/>
    <w:rsid w:val="690FCAF4"/>
    <w:rsid w:val="6A1A27F1"/>
    <w:rsid w:val="6B2B72DA"/>
    <w:rsid w:val="6D8C96E7"/>
    <w:rsid w:val="703881C6"/>
    <w:rsid w:val="707361C0"/>
    <w:rsid w:val="70B9B432"/>
    <w:rsid w:val="7187A4A7"/>
    <w:rsid w:val="73DA898D"/>
    <w:rsid w:val="7425BEC2"/>
    <w:rsid w:val="7427728F"/>
    <w:rsid w:val="7460D963"/>
    <w:rsid w:val="749BCCBE"/>
    <w:rsid w:val="74DBD65F"/>
    <w:rsid w:val="752AA564"/>
    <w:rsid w:val="75653B8D"/>
    <w:rsid w:val="75C56DFF"/>
    <w:rsid w:val="76E97161"/>
    <w:rsid w:val="78FAE3B2"/>
    <w:rsid w:val="78FD0EC1"/>
    <w:rsid w:val="791C5896"/>
    <w:rsid w:val="79403440"/>
    <w:rsid w:val="7C8AD98B"/>
    <w:rsid w:val="7D133D86"/>
    <w:rsid w:val="7E13A563"/>
    <w:rsid w:val="7EF24CD8"/>
    <w:rsid w:val="7F9D51FC"/>
    <w:rsid w:val="7FD69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8DD52"/>
  <w15:chartTrackingRefBased/>
  <w15:docId w15:val="{CC1C4864-F164-48F7-BE82-C2B2BE3D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3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3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A0C5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23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9117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23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391171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23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39117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7"/>
    <w:pPr>
      <w:keepNext/>
      <w:keepLines/>
      <w:spacing w:before="200" w:after="0"/>
      <w:outlineLvl w:val="4"/>
    </w:pPr>
    <w:rPr>
      <w:rFonts w:eastAsiaTheme="majorEastAsia" w:cstheme="majorBidi"/>
      <w:color w:val="1C083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237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237"/>
    <w:rPr>
      <w:rFonts w:ascii="Arial" w:eastAsiaTheme="majorEastAsia" w:hAnsi="Arial" w:cstheme="majorBidi"/>
      <w:b/>
      <w:bCs/>
      <w:color w:val="391171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7237"/>
    <w:rPr>
      <w:rFonts w:ascii="Arial" w:eastAsiaTheme="majorEastAsia" w:hAnsi="Arial" w:cstheme="majorBidi"/>
      <w:b/>
      <w:bCs/>
      <w:color w:val="2A0C54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17237"/>
    <w:rPr>
      <w:rFonts w:ascii="Arial" w:eastAsiaTheme="majorEastAsia" w:hAnsi="Arial" w:cstheme="majorBidi"/>
      <w:b/>
      <w:bCs/>
      <w:color w:val="391171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7237"/>
    <w:rPr>
      <w:rFonts w:ascii="Arial" w:eastAsiaTheme="majorEastAsia" w:hAnsi="Arial" w:cstheme="majorBidi"/>
      <w:b/>
      <w:bCs/>
      <w:i/>
      <w:iCs/>
      <w:color w:val="391171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7"/>
    <w:rPr>
      <w:rFonts w:ascii="Arial" w:eastAsiaTheme="majorEastAsia" w:hAnsi="Arial" w:cstheme="majorBidi"/>
      <w:color w:val="1C0838" w:themeColor="accent1" w:themeShade="7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17237"/>
    <w:pPr>
      <w:pBdr>
        <w:bottom w:val="single" w:sz="8" w:space="4" w:color="391171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723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7"/>
    <w:pPr>
      <w:numPr>
        <w:ilvl w:val="1"/>
      </w:numPr>
    </w:pPr>
    <w:rPr>
      <w:rFonts w:eastAsiaTheme="majorEastAsia" w:cstheme="majorBidi"/>
      <w:i/>
      <w:iCs/>
      <w:color w:val="391171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7237"/>
    <w:rPr>
      <w:rFonts w:ascii="Arial" w:eastAsiaTheme="majorEastAsia" w:hAnsi="Arial" w:cstheme="majorBidi"/>
      <w:i/>
      <w:iCs/>
      <w:color w:val="391171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70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30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707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0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70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707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07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Heading1"/>
    <w:link w:val="Style1Char"/>
    <w:qFormat/>
    <w:rsid w:val="00230707"/>
    <w:rPr>
      <w:rFonts w:ascii="Oxygen" w:hAnsi="Oxygen"/>
      <w:sz w:val="48"/>
    </w:rPr>
  </w:style>
  <w:style w:type="paragraph" w:customStyle="1" w:styleId="Style2">
    <w:name w:val="Style2"/>
    <w:basedOn w:val="Style1"/>
    <w:link w:val="Style2Char"/>
    <w:qFormat/>
    <w:rsid w:val="00230707"/>
    <w:rPr>
      <w:sz w:val="40"/>
    </w:rPr>
  </w:style>
  <w:style w:type="character" w:customStyle="1" w:styleId="Style1Char">
    <w:name w:val="Style1 Char"/>
    <w:basedOn w:val="Heading1Char"/>
    <w:link w:val="Style1"/>
    <w:rsid w:val="00230707"/>
    <w:rPr>
      <w:rFonts w:ascii="Oxygen" w:eastAsiaTheme="majorEastAsia" w:hAnsi="Oxygen" w:cstheme="majorBidi"/>
      <w:b/>
      <w:bCs/>
      <w:color w:val="2A0C54" w:themeColor="accent1" w:themeShade="BF"/>
      <w:sz w:val="48"/>
      <w:szCs w:val="28"/>
    </w:rPr>
  </w:style>
  <w:style w:type="paragraph" w:customStyle="1" w:styleId="Style3">
    <w:name w:val="Style3"/>
    <w:basedOn w:val="Style2"/>
    <w:link w:val="Style3Char"/>
    <w:qFormat/>
    <w:rsid w:val="00230707"/>
    <w:rPr>
      <w:sz w:val="36"/>
    </w:rPr>
  </w:style>
  <w:style w:type="character" w:customStyle="1" w:styleId="Style2Char">
    <w:name w:val="Style2 Char"/>
    <w:basedOn w:val="Style1Char"/>
    <w:link w:val="Style2"/>
    <w:rsid w:val="00230707"/>
    <w:rPr>
      <w:rFonts w:ascii="Oxygen" w:eastAsiaTheme="majorEastAsia" w:hAnsi="Oxygen" w:cstheme="majorBidi"/>
      <w:b/>
      <w:bCs/>
      <w:color w:val="2A0C54" w:themeColor="accent1" w:themeShade="BF"/>
      <w:sz w:val="40"/>
      <w:szCs w:val="28"/>
    </w:rPr>
  </w:style>
  <w:style w:type="paragraph" w:customStyle="1" w:styleId="Style4">
    <w:name w:val="Style4"/>
    <w:basedOn w:val="Style2"/>
    <w:link w:val="Style4Char"/>
    <w:qFormat/>
    <w:rsid w:val="00230707"/>
    <w:rPr>
      <w:sz w:val="28"/>
    </w:rPr>
  </w:style>
  <w:style w:type="character" w:customStyle="1" w:styleId="Style3Char">
    <w:name w:val="Style3 Char"/>
    <w:basedOn w:val="Style2Char"/>
    <w:link w:val="Style3"/>
    <w:rsid w:val="00230707"/>
    <w:rPr>
      <w:rFonts w:ascii="Oxygen" w:eastAsiaTheme="majorEastAsia" w:hAnsi="Oxygen" w:cstheme="majorBidi"/>
      <w:b/>
      <w:bCs/>
      <w:color w:val="2A0C54" w:themeColor="accent1" w:themeShade="BF"/>
      <w:sz w:val="36"/>
      <w:szCs w:val="28"/>
    </w:rPr>
  </w:style>
  <w:style w:type="character" w:styleId="Hyperlink">
    <w:name w:val="Hyperlink"/>
    <w:basedOn w:val="DefaultParagraphFont"/>
    <w:uiPriority w:val="99"/>
    <w:unhideWhenUsed/>
    <w:rsid w:val="00C10DE7"/>
    <w:rPr>
      <w:color w:val="299DDA" w:themeColor="accent5"/>
      <w:u w:val="single"/>
    </w:rPr>
  </w:style>
  <w:style w:type="character" w:customStyle="1" w:styleId="Style4Char">
    <w:name w:val="Style4 Char"/>
    <w:basedOn w:val="Style2Char"/>
    <w:link w:val="Style4"/>
    <w:rsid w:val="00230707"/>
    <w:rPr>
      <w:rFonts w:ascii="Oxygen" w:eastAsiaTheme="majorEastAsia" w:hAnsi="Oxygen" w:cstheme="majorBidi"/>
      <w:b/>
      <w:bCs/>
      <w:color w:val="2A0C54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5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DC7"/>
    <w:pPr>
      <w:ind w:left="720"/>
      <w:contextualSpacing/>
    </w:pPr>
  </w:style>
  <w:style w:type="paragraph" w:styleId="Revision">
    <w:name w:val="Revision"/>
    <w:hidden/>
    <w:uiPriority w:val="99"/>
    <w:semiHidden/>
    <w:rsid w:val="00D8602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ardner\AppData\Roaming\Microsoft\Templates\Stroke\Stroke%20Associatio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troke Association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91171"/>
      </a:accent1>
      <a:accent2>
        <a:srgbClr val="FFD251"/>
      </a:accent2>
      <a:accent3>
        <a:srgbClr val="F26177"/>
      </a:accent3>
      <a:accent4>
        <a:srgbClr val="5BC6B4"/>
      </a:accent4>
      <a:accent5>
        <a:srgbClr val="299DDA"/>
      </a:accent5>
      <a:accent6>
        <a:srgbClr val="F79646"/>
      </a:accent6>
      <a:hlink>
        <a:srgbClr val="0000FF"/>
      </a:hlink>
      <a:folHlink>
        <a:srgbClr val="800080"/>
      </a:folHlink>
    </a:clrScheme>
    <a:fontScheme name="oxygen">
      <a:majorFont>
        <a:latin typeface="Oxygen"/>
        <a:ea typeface=""/>
        <a:cs typeface=""/>
      </a:majorFont>
      <a:minorFont>
        <a:latin typeface="Oxyge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913e2-cab4-4af5-a150-dbdee7d87e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3B2E295455E418BA339A822B6D236" ma:contentTypeVersion="18" ma:contentTypeDescription="Create a new document." ma:contentTypeScope="" ma:versionID="1d400bec9be723a3d63c09a9f980515c">
  <xsd:schema xmlns:xsd="http://www.w3.org/2001/XMLSchema" xmlns:xs="http://www.w3.org/2001/XMLSchema" xmlns:p="http://schemas.microsoft.com/office/2006/metadata/properties" xmlns:ns3="cf405c28-ef9c-4dfe-995e-e70073b403c8" xmlns:ns4="e8c913e2-cab4-4af5-a150-dbdee7d87e81" targetNamespace="http://schemas.microsoft.com/office/2006/metadata/properties" ma:root="true" ma:fieldsID="861cb81e3f59e60a83be8bf8099c26a5" ns3:_="" ns4:_="">
    <xsd:import namespace="cf405c28-ef9c-4dfe-995e-e70073b403c8"/>
    <xsd:import namespace="e8c913e2-cab4-4af5-a150-dbdee7d87e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05c28-ef9c-4dfe-995e-e70073b403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913e2-cab4-4af5-a150-dbdee7d87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ED3E-B3D4-4E94-A55E-15E40FE5560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8c913e2-cab4-4af5-a150-dbdee7d87e81"/>
    <ds:schemaRef ds:uri="cf405c28-ef9c-4dfe-995e-e70073b403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99A662-4B73-4747-8DF0-9BE2B5C16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A0977-8E68-4907-954B-6B48B0EB0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05c28-ef9c-4dfe-995e-e70073b403c8"/>
    <ds:schemaRef ds:uri="e8c913e2-cab4-4af5-a150-dbdee7d87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D5DBDF-3D16-45DE-88C8-451CA68E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Stroke Association Word Template</Template>
  <TotalTime>0</TotalTime>
  <Pages>4</Pages>
  <Words>1050</Words>
  <Characters>5989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Gardner</dc:creator>
  <cp:keywords/>
  <dc:description/>
  <cp:lastModifiedBy>Tuesday McCarthy</cp:lastModifiedBy>
  <cp:revision>2</cp:revision>
  <cp:lastPrinted>2026-03-18T15:33:00Z</cp:lastPrinted>
  <dcterms:created xsi:type="dcterms:W3CDTF">2026-06-18T15:09:00Z</dcterms:created>
  <dcterms:modified xsi:type="dcterms:W3CDTF">2026-06-18T15:09:00Z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0x0101007F13B2E295455E418BA339A822B6D236</vt:lpwstr>
  </property>
</Properties>
</file>